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98"/>
        <w:gridCol w:w="481"/>
        <w:gridCol w:w="800"/>
        <w:gridCol w:w="762"/>
        <w:gridCol w:w="373"/>
        <w:gridCol w:w="1179"/>
        <w:gridCol w:w="752"/>
        <w:gridCol w:w="1647"/>
        <w:gridCol w:w="161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</w:tblPrEx>
        <w:trPr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用人单位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经费供给形式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名称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岗位代码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招聘人数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其他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条件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河南经济贸易技师学院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财政全供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专业技术岗（教师）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2071001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心理学方向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普通高等教育硕士研究生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年龄在35周岁以下（1987年1月1日以后出生）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2071002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音乐专业（合唱指挥方向）</w:t>
            </w: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2071003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通信工程方向</w:t>
            </w: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2071004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汉语言文学、中国当代文学专业方向</w:t>
            </w: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2071005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思想政治专业方向</w:t>
            </w: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2071006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化学分析检验方向</w:t>
            </w: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2071007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食品科学与工程方向</w:t>
            </w: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报考专业为粮食、油脂及植物蛋白工程、或食品科学。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2071008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计算机科学与技术方向</w:t>
            </w: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4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合计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附件一（续）：</w:t>
      </w:r>
    </w:p>
    <w:tbl>
      <w:tblPr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70"/>
        <w:gridCol w:w="410"/>
        <w:gridCol w:w="700"/>
        <w:gridCol w:w="755"/>
        <w:gridCol w:w="330"/>
        <w:gridCol w:w="860"/>
        <w:gridCol w:w="610"/>
        <w:gridCol w:w="2490"/>
        <w:gridCol w:w="158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用人单位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经费供给形式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名称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岗位代码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招聘人数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其他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条件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河南经济贸易技师学院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财政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差供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专业技术岗（教师）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2072001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机械设计制造自动化专业方向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普通高等教育本科及以上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本科年龄在30周岁以下（1992年1月1日以后出生）；研究生年龄在35周岁以下（1987年1月1日以后出生）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2072002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婴幼儿护理专业方向</w:t>
            </w: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2072003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计算机网络专业方向</w:t>
            </w: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2072004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视觉传达、数字媒体专业方向</w:t>
            </w: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2072005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电子商务方向</w:t>
            </w: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2072006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汽车维修方向</w:t>
            </w: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报考专业为汽车维修工程方向、或汽车新能源方向、或汽车智能网联。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2072007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电气工程及其自动化专业方向</w:t>
            </w: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4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合计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446424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2022-07-21T06:50:34Z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7265E089301142129B81B3D5C6AD9613</vt:lpwstr>
  </property>
</Properties>
</file>