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938" w:type="dxa"/>
        <w:tblInd w:w="0" w:type="dxa"/>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Layout w:type="autofit"/>
        <w:tblCellMar>
          <w:top w:w="0" w:type="dxa"/>
          <w:left w:w="0" w:type="dxa"/>
          <w:bottom w:w="0" w:type="dxa"/>
          <w:right w:w="0" w:type="dxa"/>
        </w:tblCellMar>
      </w:tblPr>
      <w:tblGrid>
        <w:gridCol w:w="611"/>
        <w:gridCol w:w="612"/>
        <w:gridCol w:w="621"/>
        <w:gridCol w:w="629"/>
        <w:gridCol w:w="1379"/>
        <w:gridCol w:w="948"/>
        <w:gridCol w:w="4138"/>
      </w:tblGrid>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0" w:type="dxa"/>
            <w:left w:w="0" w:type="dxa"/>
            <w:bottom w:w="0" w:type="dxa"/>
            <w:right w:w="0" w:type="dxa"/>
          </w:tblCellMar>
        </w:tblPrEx>
        <w:trPr>
          <w:trHeight w:val="594" w:hRule="atLeast"/>
        </w:trPr>
        <w:tc>
          <w:tcPr>
            <w:tcW w:w="1844" w:type="dxa"/>
            <w:gridSpan w:val="3"/>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ascii="微软雅黑" w:hAnsi="微软雅黑" w:eastAsia="微软雅黑" w:cs="微软雅黑"/>
                <w:color w:val="666666"/>
                <w:sz w:val="24"/>
                <w:szCs w:val="24"/>
              </w:rPr>
            </w:pPr>
            <w:bookmarkStart w:id="0" w:name="_GoBack"/>
            <w:r>
              <w:rPr>
                <w:rFonts w:hint="eastAsia" w:ascii="微软雅黑" w:hAnsi="微软雅黑" w:eastAsia="微软雅黑" w:cs="微软雅黑"/>
                <w:color w:val="666666"/>
                <w:kern w:val="0"/>
                <w:sz w:val="24"/>
                <w:szCs w:val="24"/>
                <w:lang w:val="en-US" w:eastAsia="zh-CN" w:bidi="ar"/>
              </w:rPr>
              <w:t>附件1：</w:t>
            </w:r>
          </w:p>
        </w:tc>
        <w:tc>
          <w:tcPr>
            <w:tcW w:w="62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p>
        </w:tc>
        <w:tc>
          <w:tcPr>
            <w:tcW w:w="137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p>
        </w:tc>
        <w:tc>
          <w:tcPr>
            <w:tcW w:w="94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p>
        </w:tc>
        <w:tc>
          <w:tcPr>
            <w:tcW w:w="413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0" w:type="dxa"/>
            <w:left w:w="0" w:type="dxa"/>
            <w:bottom w:w="0" w:type="dxa"/>
            <w:right w:w="0" w:type="dxa"/>
          </w:tblCellMar>
        </w:tblPrEx>
        <w:trPr>
          <w:trHeight w:val="920" w:hRule="atLeast"/>
        </w:trPr>
        <w:tc>
          <w:tcPr>
            <w:tcW w:w="0" w:type="auto"/>
            <w:gridSpan w:val="7"/>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u w:val="none"/>
                <w:lang w:val="en-US" w:eastAsia="zh-CN" w:bidi="ar"/>
              </w:rPr>
              <w:fldChar w:fldCharType="begin"/>
            </w:r>
            <w:r>
              <w:rPr>
                <w:rFonts w:hint="eastAsia" w:ascii="微软雅黑" w:hAnsi="微软雅黑" w:eastAsia="微软雅黑" w:cs="微软雅黑"/>
                <w:color w:val="666666"/>
                <w:kern w:val="0"/>
                <w:sz w:val="24"/>
                <w:szCs w:val="24"/>
                <w:u w:val="none"/>
                <w:lang w:val="en-US" w:eastAsia="zh-CN" w:bidi="ar"/>
              </w:rPr>
              <w:instrText xml:space="preserve"> HYPERLINK "http://www.kskt.gov.cn/_data/2021/06/10/0cbd456a_1824_45c1_a397_3410e167a0d4/file/%E5%85%8B%E4%BB%80%E5%85%8B%E8%85%BE%E6%97%97%E8%81%9A%E9%91%AB%E5%9B%BD%E6%9C%89%E8%B5%84%E6%9C%AC%E8%BF%90%E8%90%A5%EF%BC%88%E9%9B%86%E5%9B%A2%EF%BC%89%E6%9C%89%E9%99%90%E5%85%AC%E5%8F%B8%E5%85%AC%E5%BC%80%E6%8B%9B%E8%81%98%E5%B7%A5%E4%BD%9C%E4%BA%BA%E5%91%98%E5%B2%97%E4%BD%8D%E8%AE%A1%E5%88%92%E8%A1%A8.xlsx" \o "http://www.kskt.gov.cn/_data/2021/06/10/0cbd456a_1824_45c1_a397_3410e167a0d4/file/%E5%85%8B%E4%BB%80%E5%85%8B%E8%85%BE%E6%97%97%E8%81%9A%E9%91%AB%E5%9B%BD%E6%9C%89%E8%B5%84%E6%9C%AC%E8%BF%90%E8%90%A5%EF%BC%88%E9%9B%86%E5%9B%A2%EF%BC%89%E6%9C%89%E9%99%90%E" </w:instrText>
            </w:r>
            <w:r>
              <w:rPr>
                <w:rFonts w:hint="eastAsia" w:ascii="微软雅黑" w:hAnsi="微软雅黑" w:eastAsia="微软雅黑" w:cs="微软雅黑"/>
                <w:color w:val="666666"/>
                <w:kern w:val="0"/>
                <w:sz w:val="24"/>
                <w:szCs w:val="24"/>
                <w:u w:val="none"/>
                <w:lang w:val="en-US" w:eastAsia="zh-CN" w:bidi="ar"/>
              </w:rPr>
              <w:fldChar w:fldCharType="separate"/>
            </w:r>
            <w:r>
              <w:rPr>
                <w:rStyle w:val="4"/>
                <w:rFonts w:hint="eastAsia" w:ascii="微软雅黑" w:hAnsi="微软雅黑" w:eastAsia="微软雅黑" w:cs="微软雅黑"/>
                <w:color w:val="666666"/>
                <w:sz w:val="24"/>
                <w:szCs w:val="24"/>
                <w:u w:val="none"/>
              </w:rPr>
              <w:t>巴林右旗万晟国有资本运营集团有限责任公司公开招聘工作人员岗位计划表</w:t>
            </w:r>
            <w:r>
              <w:rPr>
                <w:rFonts w:hint="eastAsia" w:ascii="微软雅黑" w:hAnsi="微软雅黑" w:eastAsia="微软雅黑" w:cs="微软雅黑"/>
                <w:color w:val="666666"/>
                <w:kern w:val="0"/>
                <w:sz w:val="24"/>
                <w:szCs w:val="24"/>
                <w:u w:val="none"/>
                <w:lang w:val="en-US" w:eastAsia="zh-CN" w:bidi="ar"/>
              </w:rPr>
              <w:fldChar w:fldCharType="end"/>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0" w:type="dxa"/>
            <w:left w:w="0" w:type="dxa"/>
            <w:bottom w:w="0" w:type="dxa"/>
            <w:right w:w="0" w:type="dxa"/>
          </w:tblCellMar>
        </w:tblPrEx>
        <w:trPr>
          <w:trHeight w:val="1174" w:hRule="atLeast"/>
        </w:trPr>
        <w:tc>
          <w:tcPr>
            <w:tcW w:w="61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序号</w:t>
            </w:r>
          </w:p>
        </w:tc>
        <w:tc>
          <w:tcPr>
            <w:tcW w:w="612"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招聘部室</w:t>
            </w:r>
          </w:p>
        </w:tc>
        <w:tc>
          <w:tcPr>
            <w:tcW w:w="62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岗位名称</w:t>
            </w:r>
          </w:p>
        </w:tc>
        <w:tc>
          <w:tcPr>
            <w:tcW w:w="62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人数</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（12人）</w:t>
            </w:r>
          </w:p>
        </w:tc>
        <w:tc>
          <w:tcPr>
            <w:tcW w:w="137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专业要求</w:t>
            </w:r>
          </w:p>
        </w:tc>
        <w:tc>
          <w:tcPr>
            <w:tcW w:w="94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学历、学位要求</w:t>
            </w:r>
          </w:p>
        </w:tc>
        <w:tc>
          <w:tcPr>
            <w:tcW w:w="413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其他条件</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0" w:type="dxa"/>
            <w:left w:w="0" w:type="dxa"/>
            <w:bottom w:w="0" w:type="dxa"/>
            <w:right w:w="0" w:type="dxa"/>
          </w:tblCellMar>
        </w:tblPrEx>
        <w:trPr>
          <w:trHeight w:val="3492" w:hRule="atLeast"/>
        </w:trPr>
        <w:tc>
          <w:tcPr>
            <w:tcW w:w="61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w:t>
            </w:r>
          </w:p>
        </w:tc>
        <w:tc>
          <w:tcPr>
            <w:tcW w:w="612"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综合办公室</w:t>
            </w:r>
          </w:p>
        </w:tc>
        <w:tc>
          <w:tcPr>
            <w:tcW w:w="62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文秘岗</w:t>
            </w:r>
          </w:p>
        </w:tc>
        <w:tc>
          <w:tcPr>
            <w:tcW w:w="62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w:t>
            </w:r>
          </w:p>
        </w:tc>
        <w:tc>
          <w:tcPr>
            <w:tcW w:w="137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不限</w:t>
            </w:r>
          </w:p>
        </w:tc>
        <w:tc>
          <w:tcPr>
            <w:tcW w:w="94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大学专科及以上</w:t>
            </w:r>
          </w:p>
        </w:tc>
        <w:tc>
          <w:tcPr>
            <w:tcW w:w="413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1．年龄为18周岁以上，35周岁以下（1987年4月7日（不含）至2005年4月7日（含）期间出生）；具有秘书、记者证从业资格的，年龄可适当放宽至40周岁以内（1982年4月7日（不含）后出生）；</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2．至少具有3年及以上办公室相关工作经验（相关单位出具证明）；</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3．熟悉文件、方案等文字材料起草，能熟练使用各类办公软件；具有较高的文字水平，较强的沟通能力和综合协调能力。</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PrEx>
        <w:trPr>
          <w:trHeight w:val="3492" w:hRule="atLeast"/>
        </w:trPr>
        <w:tc>
          <w:tcPr>
            <w:tcW w:w="61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2</w:t>
            </w:r>
          </w:p>
        </w:tc>
        <w:tc>
          <w:tcPr>
            <w:tcW w:w="612"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综合办公室</w:t>
            </w:r>
          </w:p>
        </w:tc>
        <w:tc>
          <w:tcPr>
            <w:tcW w:w="62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人力资源岗</w:t>
            </w:r>
          </w:p>
        </w:tc>
        <w:tc>
          <w:tcPr>
            <w:tcW w:w="62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w:t>
            </w:r>
          </w:p>
        </w:tc>
        <w:tc>
          <w:tcPr>
            <w:tcW w:w="137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不限</w:t>
            </w:r>
          </w:p>
        </w:tc>
        <w:tc>
          <w:tcPr>
            <w:tcW w:w="94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全日制本科及以上</w:t>
            </w:r>
          </w:p>
        </w:tc>
        <w:tc>
          <w:tcPr>
            <w:tcW w:w="413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年龄为18周岁以上，35周岁以下（1987年4月7日（不含）至2005年4月7日（含）期间出生）；具有企业相关工作经历10年以上或具有专业要求中、高级职称的，年龄可适当放宽至40周岁以内（1982年4月7日（不含）后出生）；</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2．熟悉人力资源工作业务，能熟练使用各类办公软件；具有较高的文字水平，较强的沟通能力和综合协调能力。</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0" w:type="dxa"/>
            <w:left w:w="0" w:type="dxa"/>
            <w:bottom w:w="0" w:type="dxa"/>
            <w:right w:w="0" w:type="dxa"/>
          </w:tblCellMar>
        </w:tblPrEx>
        <w:trPr>
          <w:trHeight w:val="2912" w:hRule="atLeast"/>
        </w:trPr>
        <w:tc>
          <w:tcPr>
            <w:tcW w:w="61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3</w:t>
            </w:r>
          </w:p>
        </w:tc>
        <w:tc>
          <w:tcPr>
            <w:tcW w:w="612"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综合办公室</w:t>
            </w:r>
          </w:p>
        </w:tc>
        <w:tc>
          <w:tcPr>
            <w:tcW w:w="62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法务咨询岗</w:t>
            </w:r>
          </w:p>
        </w:tc>
        <w:tc>
          <w:tcPr>
            <w:tcW w:w="62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w:t>
            </w:r>
          </w:p>
        </w:tc>
        <w:tc>
          <w:tcPr>
            <w:tcW w:w="137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法律及相关专业</w:t>
            </w:r>
          </w:p>
        </w:tc>
        <w:tc>
          <w:tcPr>
            <w:tcW w:w="94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全日制本科及以上</w:t>
            </w:r>
          </w:p>
        </w:tc>
        <w:tc>
          <w:tcPr>
            <w:tcW w:w="413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1．年龄为18周岁以上，35周岁以下（1987年4月7日（不含）至2005年4月7日（含）期间出生）；具有法律执业资格的，年龄可适当放宽至40周岁以内（1982年4月7日（不含）后出生）；</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2．具有2年以上法律相关工作经验；（相关单位出具证明）</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3．熟悉企业有关法律法规和规章制度，熟悉企业经营管理工作，具有较高的文字水平，较强的综合分析能力和独立工作能力。</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0" w:type="dxa"/>
            <w:left w:w="0" w:type="dxa"/>
            <w:bottom w:w="0" w:type="dxa"/>
            <w:right w:w="0" w:type="dxa"/>
          </w:tblCellMar>
        </w:tblPrEx>
        <w:trPr>
          <w:trHeight w:val="4651" w:hRule="atLeast"/>
        </w:trPr>
        <w:tc>
          <w:tcPr>
            <w:tcW w:w="61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4</w:t>
            </w:r>
          </w:p>
        </w:tc>
        <w:tc>
          <w:tcPr>
            <w:tcW w:w="612"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财务资产部</w:t>
            </w:r>
          </w:p>
        </w:tc>
        <w:tc>
          <w:tcPr>
            <w:tcW w:w="62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财务综合岗</w:t>
            </w:r>
          </w:p>
        </w:tc>
        <w:tc>
          <w:tcPr>
            <w:tcW w:w="62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w:t>
            </w:r>
          </w:p>
        </w:tc>
        <w:tc>
          <w:tcPr>
            <w:tcW w:w="137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财务管理、会计学、审计学</w:t>
            </w:r>
          </w:p>
        </w:tc>
        <w:tc>
          <w:tcPr>
            <w:tcW w:w="94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大学本科及以上</w:t>
            </w:r>
          </w:p>
        </w:tc>
        <w:tc>
          <w:tcPr>
            <w:tcW w:w="413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1．年龄为18周岁以上，35周岁以下（1987年4月7日（不含）至2005年4月7日（含）期间出生）；具有会计、审计中、高级职称的，年龄可适当放宽至40周岁以内（1982年4月7日（不含）后出生）；</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2．了解企业有关法律法规和规章制度，熟悉企业经营管理工作；了解会计、审计、财务管理、税法、经济法、内部控制等相关专业知识；具有较高较强的综合分析能力和独立工作能力；</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3．能够熟练使用各种办公设备、办公软件；</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4．从事财务、会计、审计、税务筹划等相关工作5年及以上。</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0" w:type="dxa"/>
            <w:left w:w="0" w:type="dxa"/>
            <w:bottom w:w="0" w:type="dxa"/>
            <w:right w:w="0" w:type="dxa"/>
          </w:tblCellMar>
        </w:tblPrEx>
        <w:trPr>
          <w:trHeight w:val="4072" w:hRule="atLeast"/>
        </w:trPr>
        <w:tc>
          <w:tcPr>
            <w:tcW w:w="61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5</w:t>
            </w:r>
          </w:p>
        </w:tc>
        <w:tc>
          <w:tcPr>
            <w:tcW w:w="612"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财务资产部</w:t>
            </w:r>
          </w:p>
        </w:tc>
        <w:tc>
          <w:tcPr>
            <w:tcW w:w="62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审计稽核岗</w:t>
            </w:r>
          </w:p>
        </w:tc>
        <w:tc>
          <w:tcPr>
            <w:tcW w:w="62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2</w:t>
            </w:r>
          </w:p>
        </w:tc>
        <w:tc>
          <w:tcPr>
            <w:tcW w:w="137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财务管理、会计学、审计学</w:t>
            </w:r>
          </w:p>
        </w:tc>
        <w:tc>
          <w:tcPr>
            <w:tcW w:w="94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全日制本科及以上</w:t>
            </w:r>
          </w:p>
        </w:tc>
        <w:tc>
          <w:tcPr>
            <w:tcW w:w="413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1．年龄为18周岁以上，35周岁以下（1987年4月7日（不含）至2005年4月7日（含）期间出生）；具有会计、审计中、高级职称的，年龄可适当放宽至40周岁以内（1982年4月7日（不含）后出生）；</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2．了解企业有关法律法规和规章制度，熟悉企业经营管理工作；了解会计、审计、财务管理、税法、经济法、内部控制等相关专业知识；具有较高较强的综合分析能力和独立工作能力；</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3．能够熟练使用各种办公设备、办公软件。</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tblCellMar>
            <w:top w:w="0" w:type="dxa"/>
            <w:left w:w="0" w:type="dxa"/>
            <w:bottom w:w="0" w:type="dxa"/>
            <w:right w:w="0" w:type="dxa"/>
          </w:tblCellMar>
        </w:tblPrEx>
        <w:trPr>
          <w:trHeight w:val="4072" w:hRule="atLeast"/>
        </w:trPr>
        <w:tc>
          <w:tcPr>
            <w:tcW w:w="61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6</w:t>
            </w:r>
          </w:p>
        </w:tc>
        <w:tc>
          <w:tcPr>
            <w:tcW w:w="612"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投融资部</w:t>
            </w:r>
          </w:p>
        </w:tc>
        <w:tc>
          <w:tcPr>
            <w:tcW w:w="62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资产评估岗</w:t>
            </w:r>
          </w:p>
        </w:tc>
        <w:tc>
          <w:tcPr>
            <w:tcW w:w="62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w:t>
            </w:r>
          </w:p>
        </w:tc>
        <w:tc>
          <w:tcPr>
            <w:tcW w:w="137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资产评估、金融学、财务管理、会计学、审计学、经济学</w:t>
            </w:r>
          </w:p>
        </w:tc>
        <w:tc>
          <w:tcPr>
            <w:tcW w:w="94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全日制本科及以上</w:t>
            </w:r>
          </w:p>
        </w:tc>
        <w:tc>
          <w:tcPr>
            <w:tcW w:w="413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年龄为18周岁以上，35周岁以下（1987年4月7日（不含）至2005年4月7日（含）期间出生）；具有国家注册资产评估师执业资格或全科、单科通过国家注册资产评估师全国统考者，年龄可适当放宽至40周岁以内（1982年4月7日（不含）后出生）；</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2．具有资产运营、资产管理、资产评估等相关工作经验，了解企业价值评估、无形资产评估、国有资产整体评估等工作流程；</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3．能够熟练使用各种办公设备、办公软件。</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0" w:type="dxa"/>
            <w:left w:w="0" w:type="dxa"/>
            <w:bottom w:w="0" w:type="dxa"/>
            <w:right w:w="0" w:type="dxa"/>
          </w:tblCellMar>
        </w:tblPrEx>
        <w:trPr>
          <w:trHeight w:val="2912" w:hRule="atLeast"/>
        </w:trPr>
        <w:tc>
          <w:tcPr>
            <w:tcW w:w="61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7</w:t>
            </w:r>
          </w:p>
        </w:tc>
        <w:tc>
          <w:tcPr>
            <w:tcW w:w="612"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工程建设部</w:t>
            </w:r>
          </w:p>
        </w:tc>
        <w:tc>
          <w:tcPr>
            <w:tcW w:w="62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工程综合岗</w:t>
            </w:r>
          </w:p>
        </w:tc>
        <w:tc>
          <w:tcPr>
            <w:tcW w:w="62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4</w:t>
            </w:r>
          </w:p>
        </w:tc>
        <w:tc>
          <w:tcPr>
            <w:tcW w:w="137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土木、水利建筑、园林绿化、测绘、建筑环境与设备工程、地质工程与管理、新能源科学与工程、作物生产技术</w:t>
            </w:r>
          </w:p>
        </w:tc>
        <w:tc>
          <w:tcPr>
            <w:tcW w:w="94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大学专科及以上</w:t>
            </w:r>
          </w:p>
        </w:tc>
        <w:tc>
          <w:tcPr>
            <w:tcW w:w="413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1．年龄为18周岁以上，35周岁以下（1987年4月7日（不含）至2005年4月7日（含）期间出生）；具有专业要求中、高级职称的，年龄可适当放宽至40周岁以内（1982年4月7日（不含）后出生）；</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2．具有相关工程管理类专业工作能力水平，能够在有关专业领域工程现场，开展质量、秩序、进度、安全管理和控制等工作。</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0" w:type="dxa"/>
            <w:left w:w="0" w:type="dxa"/>
            <w:bottom w:w="0" w:type="dxa"/>
            <w:right w:w="0" w:type="dxa"/>
          </w:tblCellMar>
        </w:tblPrEx>
        <w:trPr>
          <w:trHeight w:val="4086" w:hRule="atLeast"/>
        </w:trPr>
        <w:tc>
          <w:tcPr>
            <w:tcW w:w="61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8</w:t>
            </w:r>
          </w:p>
        </w:tc>
        <w:tc>
          <w:tcPr>
            <w:tcW w:w="612"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市场开发部</w:t>
            </w:r>
          </w:p>
        </w:tc>
        <w:tc>
          <w:tcPr>
            <w:tcW w:w="621"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市场综合岗</w:t>
            </w:r>
          </w:p>
        </w:tc>
        <w:tc>
          <w:tcPr>
            <w:tcW w:w="62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w:t>
            </w:r>
          </w:p>
        </w:tc>
        <w:tc>
          <w:tcPr>
            <w:tcW w:w="1379"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市场营销专业、工商管理、金融学、财务管理、经济学</w:t>
            </w:r>
          </w:p>
        </w:tc>
        <w:tc>
          <w:tcPr>
            <w:tcW w:w="94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全日制大学专科及以上</w:t>
            </w:r>
          </w:p>
        </w:tc>
        <w:tc>
          <w:tcPr>
            <w:tcW w:w="4138" w:type="dxa"/>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spacing w:before="0" w:beforeAutospacing="1" w:after="0" w:afterAutospacing="1" w:line="432" w:lineRule="atLeast"/>
              <w:ind w:left="0" w:right="0" w:firstLine="0"/>
              <w:jc w:val="lef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kern w:val="0"/>
                <w:sz w:val="24"/>
                <w:szCs w:val="24"/>
                <w:lang w:val="en-US" w:eastAsia="zh-CN" w:bidi="ar"/>
              </w:rPr>
              <w:t>1．　年龄为18周岁以上，35周岁以下（1987年4月7日（不含）至2005年4月7日（含）期间出生）；具有专业要求中、高级职称的，年龄可适当放宽至40周岁以内（1982年4月7日（不含）后出生）；</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2．熟练掌握市场项目的设计、管理、研究和客户服务；</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3．熟练操作办公软件，具有进行统计分析、数据管理等能力；</w:t>
            </w:r>
            <w:r>
              <w:rPr>
                <w:rFonts w:hint="eastAsia" w:ascii="微软雅黑" w:hAnsi="微软雅黑" w:eastAsia="微软雅黑" w:cs="微软雅黑"/>
                <w:color w:val="666666"/>
                <w:kern w:val="0"/>
                <w:sz w:val="24"/>
                <w:szCs w:val="24"/>
                <w:lang w:val="en-US" w:eastAsia="zh-CN" w:bidi="ar"/>
              </w:rPr>
              <w:br w:type="textWrapping"/>
            </w:r>
            <w:r>
              <w:rPr>
                <w:rFonts w:hint="eastAsia" w:ascii="微软雅黑" w:hAnsi="微软雅黑" w:eastAsia="微软雅黑" w:cs="微软雅黑"/>
                <w:color w:val="666666"/>
                <w:kern w:val="0"/>
                <w:sz w:val="24"/>
                <w:szCs w:val="24"/>
                <w:lang w:val="en-US" w:eastAsia="zh-CN" w:bidi="ar"/>
              </w:rPr>
              <w:t>4．有敏锐的市场眼光，具有独立的工作能力、良好的人际交往能力与团队合作精神，沟通协调能力强。</w:t>
            </w:r>
          </w:p>
        </w:tc>
      </w:tr>
      <w:bookmarkEnd w:id="0"/>
    </w:tbl>
    <w:p>
      <w:pPr>
        <w:rPr>
          <w:vanish/>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BB81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2023-04-10T06:28:11Z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D81C312FDB1D4C32A99C25653F806A3C_12</vt:lpwstr>
  </property>
</Properties>
</file>