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lang w:val="en-US" w:eastAsia="zh-CN"/>
        </w:rPr>
      </w:pPr>
      <w:r>
        <w:rPr>
          <w:rFonts w:hint="eastAsia" w:ascii="方正小标宋简体" w:hAnsi="宋体" w:eastAsia="方正小标宋简体" w:cs="方正小标宋简体"/>
          <w:sz w:val="36"/>
          <w:szCs w:val="36"/>
          <w:lang w:val="en-US" w:eastAsia="zh-CN"/>
        </w:rPr>
        <w:t>台州市路桥区金融投资有限公司下属子公司市场化招聘工作人员职位一览表</w:t>
      </w:r>
    </w:p>
    <w:tbl>
      <w:tblPr>
        <w:tblStyle w:val="3"/>
        <w:tblpPr w:leftFromText="180" w:rightFromText="180" w:vertAnchor="text" w:horzAnchor="page" w:tblpX="585" w:tblpY="243"/>
        <w:tblOverlap w:val="never"/>
        <w:tblW w:w="15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
        <w:gridCol w:w="1009"/>
        <w:gridCol w:w="681"/>
        <w:gridCol w:w="682"/>
        <w:gridCol w:w="420"/>
        <w:gridCol w:w="390"/>
        <w:gridCol w:w="1677"/>
        <w:gridCol w:w="1590"/>
        <w:gridCol w:w="1105"/>
        <w:gridCol w:w="1009"/>
        <w:gridCol w:w="696"/>
        <w:gridCol w:w="4350"/>
        <w:gridCol w:w="695"/>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5" w:type="dxa"/>
            <w:vMerge w:val="restart"/>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序号</w:t>
            </w:r>
          </w:p>
        </w:tc>
        <w:tc>
          <w:tcPr>
            <w:tcW w:w="1009" w:type="dxa"/>
            <w:vMerge w:val="restart"/>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公司</w:t>
            </w:r>
          </w:p>
        </w:tc>
        <w:tc>
          <w:tcPr>
            <w:tcW w:w="681" w:type="dxa"/>
            <w:vMerge w:val="restart"/>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岗位</w:t>
            </w:r>
          </w:p>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名称</w:t>
            </w:r>
          </w:p>
        </w:tc>
        <w:tc>
          <w:tcPr>
            <w:tcW w:w="682" w:type="dxa"/>
            <w:vMerge w:val="restart"/>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用工</w:t>
            </w:r>
          </w:p>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性质</w:t>
            </w:r>
          </w:p>
        </w:tc>
        <w:tc>
          <w:tcPr>
            <w:tcW w:w="420" w:type="dxa"/>
            <w:vMerge w:val="restart"/>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性别</w:t>
            </w:r>
          </w:p>
        </w:tc>
        <w:tc>
          <w:tcPr>
            <w:tcW w:w="390" w:type="dxa"/>
            <w:vMerge w:val="restart"/>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人数</w:t>
            </w:r>
          </w:p>
        </w:tc>
        <w:tc>
          <w:tcPr>
            <w:tcW w:w="10427" w:type="dxa"/>
            <w:gridSpan w:val="6"/>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招聘岗位资格条件</w:t>
            </w:r>
          </w:p>
        </w:tc>
        <w:tc>
          <w:tcPr>
            <w:tcW w:w="695" w:type="dxa"/>
            <w:vMerge w:val="restart"/>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考试形式</w:t>
            </w:r>
          </w:p>
        </w:tc>
        <w:tc>
          <w:tcPr>
            <w:tcW w:w="1241" w:type="dxa"/>
            <w:vMerge w:val="restart"/>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55" w:type="dxa"/>
            <w:vMerge w:val="continue"/>
            <w:noWrap/>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1009" w:type="dxa"/>
            <w:vMerge w:val="continue"/>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681" w:type="dxa"/>
            <w:vMerge w:val="continue"/>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682" w:type="dxa"/>
            <w:vMerge w:val="continue"/>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420" w:type="dxa"/>
            <w:vMerge w:val="continue"/>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390" w:type="dxa"/>
            <w:vMerge w:val="continue"/>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1677"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专业</w:t>
            </w:r>
          </w:p>
        </w:tc>
        <w:tc>
          <w:tcPr>
            <w:tcW w:w="1590"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学历</w:t>
            </w:r>
          </w:p>
        </w:tc>
        <w:tc>
          <w:tcPr>
            <w:tcW w:w="1105"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学位</w:t>
            </w:r>
          </w:p>
        </w:tc>
        <w:tc>
          <w:tcPr>
            <w:tcW w:w="1009"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年龄</w:t>
            </w:r>
          </w:p>
        </w:tc>
        <w:tc>
          <w:tcPr>
            <w:tcW w:w="696"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lang w:val="en-US" w:eastAsia="zh-CN" w:bidi="ar-SA"/>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户籍</w:t>
            </w:r>
          </w:p>
        </w:tc>
        <w:tc>
          <w:tcPr>
            <w:tcW w:w="4350"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其他条件</w:t>
            </w:r>
          </w:p>
        </w:tc>
        <w:tc>
          <w:tcPr>
            <w:tcW w:w="695" w:type="dxa"/>
            <w:vMerge w:val="continue"/>
            <w:noWrap/>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c>
          <w:tcPr>
            <w:tcW w:w="1241" w:type="dxa"/>
            <w:vMerge w:val="continue"/>
            <w:noWrap/>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55"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1</w:t>
            </w:r>
          </w:p>
        </w:tc>
        <w:tc>
          <w:tcPr>
            <w:tcW w:w="1009"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台州恒金贸易有限公司</w:t>
            </w:r>
          </w:p>
        </w:tc>
        <w:tc>
          <w:tcPr>
            <w:tcW w:w="681"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行政</w:t>
            </w:r>
          </w:p>
        </w:tc>
        <w:tc>
          <w:tcPr>
            <w:tcW w:w="682"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市场化聘用</w:t>
            </w:r>
          </w:p>
        </w:tc>
        <w:tc>
          <w:tcPr>
            <w:tcW w:w="420"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不限</w:t>
            </w:r>
          </w:p>
        </w:tc>
        <w:tc>
          <w:tcPr>
            <w:tcW w:w="39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2</w:t>
            </w:r>
          </w:p>
        </w:tc>
        <w:tc>
          <w:tcPr>
            <w:tcW w:w="1677"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汉语言文学、汉语言、新闻学、金融学、经济学、法学、工商管理</w:t>
            </w:r>
          </w:p>
        </w:tc>
        <w:tc>
          <w:tcPr>
            <w:tcW w:w="159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本科及以上学历</w:t>
            </w:r>
          </w:p>
        </w:tc>
        <w:tc>
          <w:tcPr>
            <w:tcW w:w="1105"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学士学位及以上</w:t>
            </w:r>
          </w:p>
        </w:tc>
        <w:tc>
          <w:tcPr>
            <w:tcW w:w="1009"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30</w:t>
            </w:r>
            <w:r>
              <w:rPr>
                <w:rFonts w:hint="default" w:ascii="仿宋_GB2312" w:hAnsi="宋体" w:eastAsia="仿宋_GB2312" w:cs="仿宋_GB2312"/>
                <w:color w:val="000000" w:themeColor="text1"/>
                <w:kern w:val="0"/>
                <w:sz w:val="18"/>
                <w:szCs w:val="18"/>
                <w:highlight w:val="none"/>
                <w14:textFill>
                  <w14:solidFill>
                    <w14:schemeClr w14:val="tx1"/>
                  </w14:solidFill>
                </w14:textFill>
              </w:rPr>
              <w:t>周岁及以下</w:t>
            </w:r>
          </w:p>
        </w:tc>
        <w:tc>
          <w:tcPr>
            <w:tcW w:w="696"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台州户籍</w:t>
            </w:r>
          </w:p>
        </w:tc>
        <w:tc>
          <w:tcPr>
            <w:tcW w:w="435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具有2年及以上行政岗位工作经验，具有一定文字功底。具有中级经济师以上职称或法律职业资格证A证的，年龄可放宽至35周岁。</w:t>
            </w:r>
          </w:p>
        </w:tc>
        <w:tc>
          <w:tcPr>
            <w:tcW w:w="695" w:type="dxa"/>
            <w:noWrap/>
            <w:vAlign w:val="center"/>
          </w:tcPr>
          <w:p>
            <w:pPr>
              <w:jc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笔试+面试</w:t>
            </w:r>
          </w:p>
        </w:tc>
        <w:tc>
          <w:tcPr>
            <w:tcW w:w="1241" w:type="dxa"/>
            <w:noWrap/>
            <w:vAlign w:val="center"/>
          </w:tcPr>
          <w:p>
            <w:pPr>
              <w:rPr>
                <w:rFonts w:hint="default" w:ascii="黑体" w:hAnsi="黑体" w:eastAsia="黑体" w:cs="黑体"/>
                <w:color w:val="000000" w:themeColor="text1"/>
                <w:sz w:val="18"/>
                <w:szCs w:val="18"/>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5"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2</w:t>
            </w:r>
          </w:p>
        </w:tc>
        <w:tc>
          <w:tcPr>
            <w:tcW w:w="1009"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台州恒金贸易有限公司</w:t>
            </w:r>
          </w:p>
        </w:tc>
        <w:tc>
          <w:tcPr>
            <w:tcW w:w="681"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会计</w:t>
            </w:r>
          </w:p>
        </w:tc>
        <w:tc>
          <w:tcPr>
            <w:tcW w:w="682"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市场化聘用</w:t>
            </w:r>
          </w:p>
        </w:tc>
        <w:tc>
          <w:tcPr>
            <w:tcW w:w="420" w:type="dxa"/>
            <w:noWrap/>
            <w:vAlign w:val="center"/>
          </w:tcPr>
          <w:p>
            <w:pPr>
              <w:widowControl/>
              <w:jc w:val="center"/>
              <w:textAlignment w:val="center"/>
              <w:rPr>
                <w:rFonts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不限</w:t>
            </w:r>
          </w:p>
        </w:tc>
        <w:tc>
          <w:tcPr>
            <w:tcW w:w="39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1</w:t>
            </w:r>
          </w:p>
        </w:tc>
        <w:tc>
          <w:tcPr>
            <w:tcW w:w="1677"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14:textFill>
                  <w14:solidFill>
                    <w14:schemeClr w14:val="tx1"/>
                  </w14:solidFill>
                </w14:textFill>
              </w:rPr>
            </w:pPr>
            <w:r>
              <w:rPr>
                <w:rFonts w:hint="default" w:ascii="仿宋_GB2312" w:hAnsi="宋体" w:eastAsia="仿宋_GB2312" w:cs="仿宋_GB2312"/>
                <w:color w:val="000000" w:themeColor="text1"/>
                <w:kern w:val="0"/>
                <w:sz w:val="18"/>
                <w:szCs w:val="18"/>
                <w:highlight w:val="none"/>
                <w:lang w:val="en-US"/>
                <w14:textFill>
                  <w14:solidFill>
                    <w14:schemeClr w14:val="tx1"/>
                  </w14:solidFill>
                </w14:textFill>
              </w:rPr>
              <w:t>会计学、财务管理、会计电算化</w:t>
            </w:r>
          </w:p>
        </w:tc>
        <w:tc>
          <w:tcPr>
            <w:tcW w:w="159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本科及以上学历</w:t>
            </w:r>
          </w:p>
        </w:tc>
        <w:tc>
          <w:tcPr>
            <w:tcW w:w="1105"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学士学位及以上</w:t>
            </w:r>
          </w:p>
        </w:tc>
        <w:tc>
          <w:tcPr>
            <w:tcW w:w="1009"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3</w:t>
            </w: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0</w:t>
            </w:r>
            <w:r>
              <w:rPr>
                <w:rFonts w:hint="eastAsia" w:ascii="仿宋_GB2312" w:hAnsi="宋体" w:eastAsia="仿宋_GB2312" w:cs="仿宋_GB2312"/>
                <w:color w:val="000000" w:themeColor="text1"/>
                <w:kern w:val="0"/>
                <w:sz w:val="18"/>
                <w:szCs w:val="18"/>
                <w:highlight w:val="none"/>
                <w14:textFill>
                  <w14:solidFill>
                    <w14:schemeClr w14:val="tx1"/>
                  </w14:solidFill>
                </w14:textFill>
              </w:rPr>
              <w:t>周岁及以下</w:t>
            </w:r>
          </w:p>
        </w:tc>
        <w:tc>
          <w:tcPr>
            <w:tcW w:w="696"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台州户籍</w:t>
            </w:r>
          </w:p>
        </w:tc>
        <w:tc>
          <w:tcPr>
            <w:tcW w:w="4350"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具有2年及以上会计岗位工作经验或会计师事务所经历。</w:t>
            </w:r>
          </w:p>
        </w:tc>
        <w:tc>
          <w:tcPr>
            <w:tcW w:w="695" w:type="dxa"/>
            <w:noWrap/>
            <w:vAlign w:val="center"/>
          </w:tcPr>
          <w:p>
            <w:pPr>
              <w:jc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笔试+面试</w:t>
            </w:r>
          </w:p>
        </w:tc>
        <w:tc>
          <w:tcPr>
            <w:tcW w:w="1241" w:type="dxa"/>
            <w:noWrap/>
          </w:tcPr>
          <w:p>
            <w:pPr>
              <w:rPr>
                <w:rFonts w:ascii="黑体" w:hAnsi="黑体" w:eastAsia="黑体" w:cs="黑体"/>
                <w:color w:val="000000" w:themeColor="text1"/>
                <w:sz w:val="18"/>
                <w:szCs w:val="1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55"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3</w:t>
            </w:r>
          </w:p>
        </w:tc>
        <w:tc>
          <w:tcPr>
            <w:tcW w:w="1009"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bidi="ar-SA"/>
              </w:rPr>
            </w:pPr>
            <w:r>
              <w:rPr>
                <w:rFonts w:hint="eastAsia" w:ascii="仿宋_GB2312" w:hAnsi="宋体" w:eastAsia="仿宋_GB2312" w:cs="仿宋_GB2312"/>
                <w:color w:val="000000"/>
                <w:kern w:val="0"/>
                <w:sz w:val="18"/>
                <w:szCs w:val="18"/>
              </w:rPr>
              <w:t>浙江恒金融资租赁有限公司</w:t>
            </w:r>
          </w:p>
        </w:tc>
        <w:tc>
          <w:tcPr>
            <w:tcW w:w="681" w:type="dxa"/>
            <w:noWrap/>
            <w:vAlign w:val="center"/>
          </w:tcPr>
          <w:p>
            <w:pPr>
              <w:widowControl/>
              <w:jc w:val="center"/>
              <w:textAlignment w:val="center"/>
              <w:rPr>
                <w:rFonts w:hint="default" w:ascii="仿宋_GB2312" w:hAnsi="宋体" w:eastAsia="仿宋_GB2312" w:cs="仿宋_GB2312"/>
                <w:color w:val="000000"/>
                <w:kern w:val="0"/>
                <w:sz w:val="18"/>
                <w:szCs w:val="18"/>
                <w:lang w:val="en-US" w:eastAsia="zh-CN" w:bidi="ar-SA"/>
              </w:rPr>
            </w:pPr>
            <w:r>
              <w:rPr>
                <w:rFonts w:hint="eastAsia" w:ascii="仿宋_GB2312" w:hAnsi="宋体" w:eastAsia="仿宋_GB2312" w:cs="仿宋_GB2312"/>
                <w:color w:val="000000"/>
                <w:kern w:val="0"/>
                <w:sz w:val="18"/>
                <w:szCs w:val="18"/>
                <w:lang w:val="en-US" w:eastAsia="zh-CN" w:bidi="ar-SA"/>
              </w:rPr>
              <w:t>业务经理</w:t>
            </w:r>
          </w:p>
        </w:tc>
        <w:tc>
          <w:tcPr>
            <w:tcW w:w="682"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bidi="ar-SA"/>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市场化聘用</w:t>
            </w:r>
          </w:p>
        </w:tc>
        <w:tc>
          <w:tcPr>
            <w:tcW w:w="42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bidi="ar-SA"/>
              </w:rPr>
            </w:pPr>
            <w:r>
              <w:rPr>
                <w:rFonts w:hint="eastAsia" w:ascii="仿宋_GB2312" w:hAnsi="宋体" w:eastAsia="仿宋_GB2312" w:cs="仿宋_GB2312"/>
                <w:color w:val="000000"/>
                <w:kern w:val="0"/>
                <w:sz w:val="18"/>
                <w:szCs w:val="18"/>
              </w:rPr>
              <w:t>不限</w:t>
            </w:r>
          </w:p>
        </w:tc>
        <w:tc>
          <w:tcPr>
            <w:tcW w:w="39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bidi="ar-SA"/>
              </w:rPr>
            </w:pPr>
            <w:r>
              <w:rPr>
                <w:rFonts w:hint="eastAsia" w:ascii="仿宋_GB2312" w:hAnsi="宋体" w:eastAsia="仿宋_GB2312" w:cs="仿宋_GB2312"/>
                <w:color w:val="000000"/>
                <w:kern w:val="0"/>
                <w:sz w:val="18"/>
                <w:szCs w:val="18"/>
                <w:lang w:val="en-US" w:eastAsia="zh-CN"/>
              </w:rPr>
              <w:t>1</w:t>
            </w:r>
          </w:p>
        </w:tc>
        <w:tc>
          <w:tcPr>
            <w:tcW w:w="1677"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金融学、工商管理、经济学、会计学、财务管理、审计学</w:t>
            </w:r>
          </w:p>
        </w:tc>
        <w:tc>
          <w:tcPr>
            <w:tcW w:w="159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本科及以上学历</w:t>
            </w:r>
          </w:p>
        </w:tc>
        <w:tc>
          <w:tcPr>
            <w:tcW w:w="1105"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w:t>
            </w:r>
          </w:p>
        </w:tc>
        <w:tc>
          <w:tcPr>
            <w:tcW w:w="1009"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35周岁及以下</w:t>
            </w:r>
          </w:p>
        </w:tc>
        <w:tc>
          <w:tcPr>
            <w:tcW w:w="696"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不限</w:t>
            </w:r>
          </w:p>
        </w:tc>
        <w:tc>
          <w:tcPr>
            <w:tcW w:w="4350" w:type="dxa"/>
            <w:noWrap/>
            <w:vAlign w:val="center"/>
          </w:tcPr>
          <w:p>
            <w:pPr>
              <w:widowControl/>
              <w:jc w:val="center"/>
              <w:textAlignment w:val="cente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具有5年及以上金融行业经验，银行、基金、证券、融资租赁3年及以上工作经验。</w:t>
            </w:r>
          </w:p>
        </w:tc>
        <w:tc>
          <w:tcPr>
            <w:tcW w:w="695" w:type="dxa"/>
            <w:noWrap/>
            <w:vAlign w:val="center"/>
          </w:tcPr>
          <w:p>
            <w:pPr>
              <w:jc w:val="center"/>
              <w:rPr>
                <w:rFonts w:hint="eastAsia" w:ascii="仿宋_GB2312" w:hAnsi="宋体" w:eastAsia="仿宋_GB2312" w:cs="仿宋_GB2312"/>
                <w:color w:val="000000" w:themeColor="text1"/>
                <w:kern w:val="0"/>
                <w:sz w:val="18"/>
                <w:szCs w:val="18"/>
                <w:highlight w:val="none"/>
                <w:lang w:val="en-US" w:eastAsia="zh-CN" w:bidi="ar-SA"/>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笔试+面试</w:t>
            </w:r>
          </w:p>
        </w:tc>
        <w:tc>
          <w:tcPr>
            <w:tcW w:w="1241" w:type="dxa"/>
            <w:noWrap/>
            <w:vAlign w:val="center"/>
          </w:tcPr>
          <w:p>
            <w:pPr>
              <w:spacing w:line="640" w:lineRule="exact"/>
              <w:jc w:val="center"/>
              <w:rPr>
                <w:rFonts w:hint="eastAsia" w:ascii="黑体" w:hAnsi="黑体" w:eastAsia="黑体" w:cs="黑体"/>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355"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4</w:t>
            </w:r>
          </w:p>
        </w:tc>
        <w:tc>
          <w:tcPr>
            <w:tcW w:w="1009"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浙江恒金融资租赁有限公司</w:t>
            </w:r>
          </w:p>
        </w:tc>
        <w:tc>
          <w:tcPr>
            <w:tcW w:w="681"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业务经理助理</w:t>
            </w:r>
          </w:p>
        </w:tc>
        <w:tc>
          <w:tcPr>
            <w:tcW w:w="682"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市场化聘用</w:t>
            </w:r>
          </w:p>
        </w:tc>
        <w:tc>
          <w:tcPr>
            <w:tcW w:w="42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不限</w:t>
            </w:r>
          </w:p>
        </w:tc>
        <w:tc>
          <w:tcPr>
            <w:tcW w:w="39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2</w:t>
            </w:r>
          </w:p>
        </w:tc>
        <w:tc>
          <w:tcPr>
            <w:tcW w:w="1677"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金融学、工商管理、经济学、会计学、财务管理、审计学</w:t>
            </w:r>
          </w:p>
        </w:tc>
        <w:tc>
          <w:tcPr>
            <w:tcW w:w="159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本科及以上学历</w:t>
            </w:r>
          </w:p>
        </w:tc>
        <w:tc>
          <w:tcPr>
            <w:tcW w:w="1105" w:type="dxa"/>
            <w:noWrap/>
            <w:vAlign w:val="center"/>
          </w:tcPr>
          <w:p>
            <w:pPr>
              <w:widowControl/>
              <w:jc w:val="center"/>
              <w:textAlignment w:val="center"/>
              <w:rPr>
                <w:rFonts w:hint="default"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w:t>
            </w:r>
          </w:p>
        </w:tc>
        <w:tc>
          <w:tcPr>
            <w:tcW w:w="1009"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28</w:t>
            </w:r>
            <w:r>
              <w:rPr>
                <w:rFonts w:hint="eastAsia" w:ascii="仿宋_GB2312" w:hAnsi="宋体" w:eastAsia="仿宋_GB2312" w:cs="仿宋_GB2312"/>
                <w:color w:val="000000" w:themeColor="text1"/>
                <w:kern w:val="0"/>
                <w:sz w:val="18"/>
                <w:szCs w:val="18"/>
                <w:highlight w:val="none"/>
                <w14:textFill>
                  <w14:solidFill>
                    <w14:schemeClr w14:val="tx1"/>
                  </w14:solidFill>
                </w14:textFill>
              </w:rPr>
              <w:t>周岁及以下</w:t>
            </w:r>
          </w:p>
        </w:tc>
        <w:tc>
          <w:tcPr>
            <w:tcW w:w="696"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不限</w:t>
            </w:r>
          </w:p>
        </w:tc>
        <w:tc>
          <w:tcPr>
            <w:tcW w:w="435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无</w:t>
            </w:r>
          </w:p>
        </w:tc>
        <w:tc>
          <w:tcPr>
            <w:tcW w:w="695"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笔试+面试</w:t>
            </w:r>
          </w:p>
        </w:tc>
        <w:tc>
          <w:tcPr>
            <w:tcW w:w="1241"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355" w:type="dxa"/>
            <w:noWrap/>
            <w:vAlign w:val="center"/>
          </w:tcPr>
          <w:p>
            <w:pPr>
              <w:widowControl/>
              <w:jc w:val="center"/>
              <w:textAlignment w:val="center"/>
              <w:rPr>
                <w:rFonts w:hint="default" w:ascii="仿宋_GB2312" w:hAnsi="宋体" w:eastAsia="仿宋_GB2312" w:cs="仿宋_GB2312"/>
                <w:color w:val="000000" w:themeColor="text1"/>
                <w:kern w:val="0"/>
                <w:sz w:val="18"/>
                <w:szCs w:val="18"/>
                <w:highlight w:val="none"/>
                <w:lang w:val="en-US" w:eastAsia="zh-CN"/>
                <w14:textFill>
                  <w14:solidFill>
                    <w14:schemeClr w14:val="tx1"/>
                  </w14:solidFill>
                </w14:textFill>
              </w:rPr>
            </w:pPr>
            <w:r>
              <w:rPr>
                <w:rFonts w:hint="eastAsia" w:ascii="仿宋_GB2312" w:hAnsi="宋体" w:eastAsia="仿宋_GB2312" w:cs="仿宋_GB2312"/>
                <w:color w:val="000000" w:themeColor="text1"/>
                <w:kern w:val="0"/>
                <w:sz w:val="18"/>
                <w:szCs w:val="18"/>
                <w:highlight w:val="none"/>
                <w:lang w:val="en-US" w:eastAsia="zh-CN"/>
                <w14:textFill>
                  <w14:solidFill>
                    <w14:schemeClr w14:val="tx1"/>
                  </w14:solidFill>
                </w14:textFill>
              </w:rPr>
              <w:t>5</w:t>
            </w:r>
          </w:p>
        </w:tc>
        <w:tc>
          <w:tcPr>
            <w:tcW w:w="1009"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浙江恒金融资租赁有限公司</w:t>
            </w:r>
          </w:p>
        </w:tc>
        <w:tc>
          <w:tcPr>
            <w:tcW w:w="681" w:type="dxa"/>
            <w:noWrap/>
            <w:vAlign w:val="center"/>
          </w:tcPr>
          <w:p>
            <w:pPr>
              <w:widowControl/>
              <w:jc w:val="center"/>
              <w:textAlignment w:val="center"/>
              <w:rPr>
                <w:rFonts w:hint="default"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风控专员</w:t>
            </w:r>
          </w:p>
        </w:tc>
        <w:tc>
          <w:tcPr>
            <w:tcW w:w="682"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市场化聘用</w:t>
            </w:r>
          </w:p>
        </w:tc>
        <w:tc>
          <w:tcPr>
            <w:tcW w:w="42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不限</w:t>
            </w:r>
          </w:p>
        </w:tc>
        <w:tc>
          <w:tcPr>
            <w:tcW w:w="39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1</w:t>
            </w:r>
          </w:p>
        </w:tc>
        <w:tc>
          <w:tcPr>
            <w:tcW w:w="1677"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金融学、工商管理、经济学、法学、会计学、财务管理、审计学</w:t>
            </w:r>
          </w:p>
        </w:tc>
        <w:tc>
          <w:tcPr>
            <w:tcW w:w="159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本科及以上学历</w:t>
            </w:r>
          </w:p>
        </w:tc>
        <w:tc>
          <w:tcPr>
            <w:tcW w:w="1105" w:type="dxa"/>
            <w:noWrap/>
            <w:vAlign w:val="center"/>
          </w:tcPr>
          <w:p>
            <w:pPr>
              <w:widowControl/>
              <w:jc w:val="center"/>
              <w:textAlignment w:val="center"/>
              <w:rPr>
                <w:rFonts w:hint="default"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w:t>
            </w:r>
          </w:p>
        </w:tc>
        <w:tc>
          <w:tcPr>
            <w:tcW w:w="1009"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themeColor="text1"/>
                <w:kern w:val="0"/>
                <w:sz w:val="18"/>
                <w:szCs w:val="18"/>
                <w:highlight w:val="none"/>
                <w14:textFill>
                  <w14:solidFill>
                    <w14:schemeClr w14:val="tx1"/>
                  </w14:solidFill>
                </w14:textFill>
              </w:rPr>
              <w:t>35周岁及以下</w:t>
            </w:r>
          </w:p>
        </w:tc>
        <w:tc>
          <w:tcPr>
            <w:tcW w:w="696"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rPr>
              <w:t>不限</w:t>
            </w:r>
          </w:p>
        </w:tc>
        <w:tc>
          <w:tcPr>
            <w:tcW w:w="4350"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具有3年及以上会计师事务所或银行、基金、证券、融资租赁等相关行业风控相关工作经验。</w:t>
            </w:r>
          </w:p>
        </w:tc>
        <w:tc>
          <w:tcPr>
            <w:tcW w:w="695" w:type="dxa"/>
            <w:noWrap/>
            <w:vAlign w:val="center"/>
          </w:tcPr>
          <w:p>
            <w:pPr>
              <w:widowControl/>
              <w:jc w:val="center"/>
              <w:textAlignment w:val="center"/>
              <w:rPr>
                <w:rFonts w:hint="eastAsia" w:ascii="仿宋_GB2312" w:hAnsi="宋体" w:eastAsia="仿宋_GB2312" w:cs="仿宋_GB2312"/>
                <w:color w:val="000000"/>
                <w:kern w:val="0"/>
                <w:sz w:val="18"/>
                <w:szCs w:val="18"/>
                <w:lang w:val="en-US" w:eastAsia="zh-CN"/>
              </w:rPr>
            </w:pPr>
            <w:r>
              <w:rPr>
                <w:rFonts w:hint="eastAsia" w:ascii="仿宋_GB2312" w:hAnsi="宋体" w:eastAsia="仿宋_GB2312" w:cs="仿宋_GB2312"/>
                <w:color w:val="000000"/>
                <w:kern w:val="0"/>
                <w:sz w:val="18"/>
                <w:szCs w:val="18"/>
                <w:lang w:val="en-US" w:eastAsia="zh-CN"/>
              </w:rPr>
              <w:t>笔试+面试</w:t>
            </w:r>
          </w:p>
        </w:tc>
        <w:tc>
          <w:tcPr>
            <w:tcW w:w="1241" w:type="dxa"/>
            <w:noWrap/>
            <w:vAlign w:val="center"/>
          </w:tcPr>
          <w:p>
            <w:pPr>
              <w:widowControl/>
              <w:jc w:val="center"/>
              <w:textAlignment w:val="center"/>
              <w:rPr>
                <w:rFonts w:hint="default" w:ascii="仿宋_GB2312" w:hAnsi="宋体" w:eastAsia="仿宋_GB2312" w:cs="仿宋_GB2312"/>
                <w:color w:val="000000"/>
                <w:kern w:val="0"/>
                <w:sz w:val="18"/>
                <w:szCs w:val="18"/>
                <w:lang w:val="en-US" w:eastAsia="zh-CN"/>
              </w:rPr>
            </w:pPr>
          </w:p>
        </w:tc>
      </w:tr>
    </w:tbl>
    <w:p>
      <w:pPr>
        <w:spacing w:line="300" w:lineRule="exact"/>
        <w:jc w:val="left"/>
        <w:rPr>
          <w:rFonts w:hint="eastAsia" w:ascii="方正小标宋简体" w:hAnsi="方正小标宋简体" w:eastAsia="方正小标宋简体"/>
          <w:kern w:val="0"/>
          <w:sz w:val="18"/>
          <w:szCs w:val="18"/>
          <w:highlight w:val="none"/>
        </w:rPr>
      </w:pPr>
    </w:p>
    <w:p>
      <w:pPr>
        <w:spacing w:line="300" w:lineRule="exact"/>
        <w:jc w:val="left"/>
        <w:rPr>
          <w:rStyle w:val="5"/>
          <w:rFonts w:hint="eastAsia" w:ascii="仿宋_GB2312" w:hAnsi="仿宋_GB2312" w:eastAsia="仿宋_GB2312" w:cs="仿宋_GB2312"/>
          <w:color w:val="auto"/>
          <w:spacing w:val="-3"/>
          <w:sz w:val="18"/>
          <w:szCs w:val="18"/>
        </w:rPr>
      </w:pPr>
      <w:r>
        <w:rPr>
          <w:rFonts w:hint="eastAsia" w:ascii="方正小标宋简体" w:hAnsi="方正小标宋简体" w:eastAsia="方正小标宋简体"/>
          <w:kern w:val="0"/>
          <w:sz w:val="18"/>
          <w:szCs w:val="18"/>
          <w:highlight w:val="none"/>
        </w:rPr>
        <w:t>注：</w:t>
      </w:r>
      <w:r>
        <w:rPr>
          <w:rFonts w:ascii="仿宋_GB2312" w:hAnsi="仿宋_GB2312" w:eastAsia="仿宋_GB2312" w:cs="仿宋_GB2312"/>
          <w:spacing w:val="-3"/>
          <w:kern w:val="0"/>
          <w:sz w:val="18"/>
          <w:szCs w:val="18"/>
          <w:highlight w:val="none"/>
        </w:rPr>
        <w:t>1</w:t>
      </w:r>
      <w:r>
        <w:rPr>
          <w:rFonts w:hint="eastAsia" w:ascii="仿宋_GB2312" w:hAnsi="仿宋_GB2312" w:eastAsia="仿宋_GB2312" w:cs="仿宋_GB2312"/>
          <w:spacing w:val="-3"/>
          <w:kern w:val="0"/>
          <w:sz w:val="18"/>
          <w:szCs w:val="18"/>
          <w:highlight w:val="none"/>
          <w:lang w:val="en-US" w:eastAsia="zh-CN"/>
        </w:rPr>
        <w:t>.</w:t>
      </w:r>
      <w:r>
        <w:rPr>
          <w:rStyle w:val="5"/>
          <w:rFonts w:hint="eastAsia" w:ascii="仿宋_GB2312" w:hAnsi="仿宋_GB2312" w:eastAsia="仿宋_GB2312" w:cs="仿宋_GB2312"/>
          <w:color w:val="auto"/>
          <w:spacing w:val="-3"/>
          <w:sz w:val="18"/>
          <w:szCs w:val="18"/>
          <w:highlight w:val="none"/>
        </w:rPr>
        <w:t>与招聘单位负责人有夫妻关系、直系血亲关系、三代以内旁系血亲关系或者近姻亲关系的应聘人员，不得应聘与该单位负责人有直接</w:t>
      </w:r>
      <w:r>
        <w:rPr>
          <w:rStyle w:val="5"/>
          <w:rFonts w:hint="eastAsia" w:ascii="仿宋_GB2312" w:hAnsi="仿宋_GB2312" w:eastAsia="仿宋_GB2312" w:cs="仿宋_GB2312"/>
          <w:color w:val="auto"/>
          <w:spacing w:val="-3"/>
          <w:sz w:val="18"/>
          <w:szCs w:val="18"/>
        </w:rPr>
        <w:t>上下级领导关系的岗位。</w:t>
      </w:r>
    </w:p>
    <w:p>
      <w:pPr>
        <w:spacing w:line="300" w:lineRule="exact"/>
        <w:ind w:firstLine="360" w:firstLineChars="200"/>
        <w:jc w:val="left"/>
        <w:rPr>
          <w:rFonts w:hint="eastAsia" w:ascii="仿宋_GB2312" w:eastAsia="仿宋_GB2312"/>
          <w:sz w:val="32"/>
          <w:szCs w:val="32"/>
          <w:u w:val="single"/>
          <w:lang w:eastAsia="zh-CN"/>
        </w:rPr>
        <w:sectPr>
          <w:pgSz w:w="16838" w:h="11906" w:orient="landscape"/>
          <w:pgMar w:top="1020" w:right="1440" w:bottom="1440" w:left="1440" w:header="851" w:footer="992" w:gutter="0"/>
          <w:cols w:space="720" w:num="1"/>
          <w:docGrid w:type="lines" w:linePitch="322" w:charSpace="0"/>
        </w:sectPr>
      </w:pPr>
      <w:r>
        <w:rPr>
          <w:rStyle w:val="5"/>
          <w:rFonts w:hint="eastAsia" w:ascii="仿宋_GB2312" w:hAnsi="仿宋_GB2312" w:eastAsia="仿宋_GB2312" w:cs="仿宋_GB2312"/>
          <w:color w:val="auto"/>
          <w:sz w:val="18"/>
          <w:szCs w:val="18"/>
          <w:lang w:val="en-US" w:eastAsia="zh-CN"/>
        </w:rPr>
        <w:t>2.</w:t>
      </w:r>
      <w:r>
        <w:rPr>
          <w:rStyle w:val="5"/>
          <w:rFonts w:hint="eastAsia" w:ascii="仿宋_GB2312" w:hAnsi="仿宋_GB2312" w:eastAsia="仿宋_GB2312" w:cs="仿宋_GB2312"/>
          <w:color w:val="auto"/>
          <w:sz w:val="18"/>
          <w:szCs w:val="18"/>
        </w:rPr>
        <w:t>曾因犯罪受过刑事处罚的人员、曾被开除公职的人员，不得报考</w:t>
      </w:r>
      <w:r>
        <w:rPr>
          <w:rStyle w:val="5"/>
          <w:rFonts w:hint="eastAsia" w:ascii="仿宋_GB2312" w:hAnsi="仿宋_GB2312" w:eastAsia="仿宋_GB2312" w:cs="仿宋_GB2312"/>
          <w:color w:val="auto"/>
          <w:sz w:val="18"/>
          <w:szCs w:val="18"/>
          <w:lang w:eastAsia="zh-CN"/>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hMzAyMzQxMDY1YzdkMGFhZDM1ODk1ZGYzMjE3NjQifQ=="/>
  </w:docVars>
  <w:rsids>
    <w:rsidRoot w:val="326533A4"/>
    <w:rsid w:val="32653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cs="Times New Roman"/>
      <w:szCs w:val="24"/>
    </w:rPr>
  </w:style>
  <w:style w:type="character" w:customStyle="1" w:styleId="5">
    <w:name w:val="font31"/>
    <w:qFormat/>
    <w:uiPriority w:val="99"/>
    <w:rPr>
      <w:rFonts w:ascii="黑体" w:hAnsi="宋体" w:eastAsia="黑体" w:cs="黑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2023-07-28T03:34:00Z</dcterms:created>
  <dc:creator>吴婷婷</dc:creator>
  <cp:lastModifiedBy>吴婷婷</cp:lastModifiedBy>
  <dcterms:modified xsi:type="dcterms:W3CDTF">2023-07-28T03:34:39Z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4A9C9ED6DCA147C18BFF069AFF0D8F15</vt:lpwstr>
  </property>
</Properties>
</file>