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Times New Roman" w:hAnsi="Times New Roman" w:eastAsia="黑体" w:cs="Times New Roman"/>
          <w:b w:val="0"/>
          <w:bCs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b w:val="0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Times New Roman" w:hAnsi="Times New Roman" w:eastAsia="方正小标宋简体" w:cs="Times New Roman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楷体_GB2312" w:cs="Times New Roman"/>
          <w:b w:val="0"/>
          <w:bCs/>
          <w:sz w:val="32"/>
          <w:szCs w:val="32"/>
        </w:rPr>
      </w:pPr>
      <w:r>
        <w:rPr>
          <w:rFonts w:ascii="Times New Roman" w:hAnsi="Times New Roman" w:eastAsia="方正小标宋简体" w:cs="Times New Roman"/>
          <w:b w:val="0"/>
          <w:bCs/>
          <w:sz w:val="44"/>
          <w:szCs w:val="44"/>
        </w:rPr>
        <w:t>报考提示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Times New Roman" w:hAnsi="Times New Roman" w:eastAsia="方正小标宋简体" w:cs="Times New Roman"/>
          <w:b/>
          <w:sz w:val="44"/>
          <w:szCs w:val="44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b w:val="0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eastAsia="zh-CN"/>
        </w:rPr>
        <w:t>．</w:t>
      </w:r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>2014年8月11日以后发布公告招录的乡镇公务员，以及2015届以后分配到乡镇工作的选调生，在乡镇的最低服务年限为5年（含试用期），其中通过定向考录等优惠政策录用到乡镇的最低服务年限为8年（含试用期）。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b w:val="0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eastAsia="zh-CN"/>
        </w:rPr>
        <w:t>．</w:t>
      </w:r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>通过定向招录、专项招录及特殊职位招录等录用的公务员（如：公安机关、监狱戒毒场所、机要系统等新招录人员，新招录基层司法所司法助理员、艰苦边远地区法官助理检察官助理，政法干警招录培养体制改革试点班学员&lt;简称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>政法体改生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>&gt;等），如在招考时已被告知其应在招录机关或者招考职位服务最低年限的，以及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>五方面人员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>（包括乡镇事业编制人员、优秀村党组织书记、到村任职过的选调生、第一书记、驻村工作队员）进班子、参加学历教育等情形明确约定有服务年限的，应严格执行有关服务年限。通过降低进入门槛等倾斜政策（包括降低学历条件、降低开考比例、少数民族考生加分、加试少数民族语言、限定本地户籍、限定最低服务年限等）录用的公务员，应当在所报考市（州）辖区内的艰苦边远县乡机关</w:t>
      </w:r>
      <w:r>
        <w:rPr>
          <w:rFonts w:eastAsia="仿宋_GB2312"/>
          <w:b w:val="0"/>
          <w:bCs/>
          <w:sz w:val="32"/>
          <w:szCs w:val="32"/>
        </w:rPr>
        <w:t>满规定的最低服务年限</w:t>
      </w:r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b w:val="0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eastAsia="zh-CN"/>
        </w:rPr>
        <w:t>．</w:t>
      </w:r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>2018年以后新录用选调生，到村任职时间未满2年的不得参加公开遴选。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b w:val="0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eastAsia="zh-CN"/>
        </w:rPr>
        <w:t>．</w:t>
      </w:r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>对存在达到服务年限前违规调离（含通过提任领导职务调离）情形的，在处理整改前资格审查不通过。</w:t>
      </w:r>
    </w:p>
    <w:p>
      <w:pPr>
        <w:spacing w:line="560" w:lineRule="exact"/>
        <w:rPr>
          <w:rFonts w:ascii="仿宋_GB2312" w:eastAsia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</w:pPr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eastAsia="zh-CN"/>
        </w:rPr>
        <w:t>．</w:t>
      </w:r>
      <w:r>
        <w:rPr>
          <w:rFonts w:hint="eastAsia" w:ascii="仿宋_GB2312" w:eastAsia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基层工作经历</w:t>
      </w:r>
      <w:r>
        <w:rPr>
          <w:rFonts w:ascii="仿宋_GB2312" w:eastAsia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时间的计算和认定要注意把握以下原则：</w:t>
      </w:r>
      <w:r>
        <w:rPr>
          <w:rFonts w:hint="eastAsia" w:ascii="仿宋_GB2312" w:eastAsia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到基层党政机关、事业单位、国有企业工作的，基层工作经历时间一般自报到之日算起；到其他经济组织、社会组织等单位工作的，基层工作经历时间一般以劳动合同约定的起始时间算起</w:t>
      </w:r>
      <w:r>
        <w:rPr>
          <w:rFonts w:ascii="仿宋_GB2312" w:eastAsia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。</w:t>
      </w:r>
      <w:r>
        <w:rPr>
          <w:rFonts w:hint="eastAsia" w:ascii="仿宋_GB2312" w:eastAsia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基层工作时间可累计计算</w:t>
      </w:r>
      <w:r>
        <w:rPr>
          <w:rFonts w:ascii="仿宋_GB2312" w:eastAsia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，</w:t>
      </w:r>
      <w:r>
        <w:rPr>
          <w:rFonts w:hint="eastAsia" w:ascii="仿宋_GB2312" w:eastAsia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有在基层工作期间借调上级部门等情形实际未在基层工作的，不能认定为基层工作经历。</w:t>
      </w:r>
    </w:p>
    <w:p>
      <w:pPr>
        <w:spacing w:line="560" w:lineRule="exact"/>
        <w:ind w:left="0" w:firstLine="649"/>
        <w:rPr>
          <w:rFonts w:ascii="Times New Roman" w:hAnsi="Times New Roman" w:eastAsia="仿宋_GB2312" w:cs="Times New Roman"/>
          <w:b w:val="0"/>
          <w:bCs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eastAsia="zh-CN"/>
        </w:rPr>
        <w:t>．</w:t>
      </w:r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>计算本级机关工作时间时，县（市、区）、</w:t>
      </w:r>
      <w:bookmarkStart w:id="0" w:name="_GoBack"/>
      <w:bookmarkEnd w:id="0"/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>乡镇（街道）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eastAsia="zh-CN"/>
        </w:rPr>
        <w:t>两级</w:t>
      </w:r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>分别算作一级机关。本级机关工作时间以正式任职时间（含试用期）计算</w:t>
      </w:r>
      <w:r>
        <w:rPr>
          <w:rFonts w:hint="eastAsia" w:ascii="仿宋_GB2312" w:eastAsia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，在本级机关借调工作的时间不能计算在内</w:t>
      </w:r>
      <w:r>
        <w:rPr>
          <w:rFonts w:ascii="仿宋_GB2312" w:eastAsia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。</w:t>
      </w:r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>在不</w:t>
      </w:r>
      <w:r>
        <w:rPr>
          <w:rFonts w:ascii="Times New Roman" w:hAnsi="Times New Roman" w:eastAsia="仿宋_GB2312" w:cs="Times New Roman"/>
          <w:b w:val="0"/>
          <w:bCs/>
          <w:color w:val="auto"/>
          <w:sz w:val="32"/>
          <w:szCs w:val="32"/>
        </w:rPr>
        <w:t>同地区的同一层级机关工作时间，以及前后不连续的同一层级机关工作时间，可以累计计算。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b w:val="0"/>
          <w:bCs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  <w:t>．</w:t>
      </w:r>
      <w:r>
        <w:rPr>
          <w:rFonts w:ascii="Times New Roman" w:hAnsi="Times New Roman" w:eastAsia="仿宋_GB2312" w:cs="Times New Roman"/>
          <w:b w:val="0"/>
          <w:bCs/>
          <w:color w:val="auto"/>
          <w:sz w:val="32"/>
          <w:szCs w:val="32"/>
        </w:rPr>
        <w:t>本机关工作时间以正式任职时间（含试用期）计算，</w:t>
      </w:r>
      <w:r>
        <w:rPr>
          <w:rFonts w:hint="eastAsia" w:ascii="仿宋_GB2312" w:eastAsia="仿宋_GB2312"/>
          <w:b w:val="0"/>
          <w:bCs/>
          <w:i w:val="0"/>
          <w:iCs w:val="0"/>
          <w:caps w:val="0"/>
          <w:smallCaps w:val="0"/>
          <w:vanish w:val="0"/>
          <w:color w:val="auto"/>
          <w:spacing w:val="0"/>
          <w:sz w:val="32"/>
          <w:szCs w:val="32"/>
        </w:rPr>
        <w:t>在本机关借调工作的时间不能计算在内</w:t>
      </w:r>
      <w:r>
        <w:rPr>
          <w:rFonts w:ascii="仿宋_GB2312" w:eastAsia="仿宋_GB2312"/>
          <w:b w:val="0"/>
          <w:bCs/>
          <w:i w:val="0"/>
          <w:iCs w:val="0"/>
          <w:caps w:val="0"/>
          <w:smallCaps w:val="0"/>
          <w:vanish w:val="0"/>
          <w:color w:val="auto"/>
          <w:spacing w:val="0"/>
          <w:sz w:val="32"/>
          <w:szCs w:val="32"/>
        </w:rPr>
        <w:t>。</w:t>
      </w:r>
      <w:r>
        <w:rPr>
          <w:rFonts w:ascii="Times New Roman" w:hAnsi="Times New Roman" w:eastAsia="仿宋_GB2312" w:cs="Times New Roman"/>
          <w:b w:val="0"/>
          <w:bCs/>
          <w:color w:val="auto"/>
          <w:sz w:val="32"/>
          <w:szCs w:val="32"/>
        </w:rPr>
        <w:t>同一级机关中属于同一党组（党委）管理的机关（单位）之间转任，其转任前后的工作时间可累计计算本机关工作时间。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b w:val="0"/>
          <w:bCs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  <w:t>．“</w:t>
      </w:r>
      <w:r>
        <w:rPr>
          <w:rFonts w:ascii="Times New Roman" w:hAnsi="Times New Roman" w:eastAsia="仿宋_GB2312" w:cs="Times New Roman"/>
          <w:b w:val="0"/>
          <w:bCs/>
          <w:color w:val="auto"/>
          <w:sz w:val="32"/>
          <w:szCs w:val="32"/>
        </w:rPr>
        <w:t>近3年年度考核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b w:val="0"/>
          <w:bCs/>
          <w:color w:val="auto"/>
          <w:sz w:val="32"/>
          <w:szCs w:val="32"/>
        </w:rPr>
        <w:t>是指2020、2021、2022年的年度考核，如截至目前尚未完成2022年年度考核工作的，可暂按称职来把握，考核结果明确后以实际结果为准。如进入公务员队伍时间不足3年，但已有的年度考核结果均无基本称职以下等次，可按年度考核符合要求来把握。新录用公务员试用期年度考核不确定等次的，按该年度考核结果符合要求把握。因受处分等导致年度考核不确定等次的，按该年度考核结果不符合要求把握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b w:val="0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  <w:t>．</w:t>
      </w:r>
      <w:r>
        <w:rPr>
          <w:rFonts w:ascii="Times New Roman" w:hAnsi="Times New Roman" w:eastAsia="仿宋_GB2312" w:cs="Times New Roman"/>
          <w:b w:val="0"/>
          <w:bCs/>
          <w:color w:val="auto"/>
          <w:sz w:val="32"/>
          <w:szCs w:val="32"/>
        </w:rPr>
        <w:t>非普通高等学历教育的其他国民教育形式（如自学</w:t>
      </w:r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>考试、成人教育、网络教育、夜大、电大等）的毕业生取得毕业证后，符合职位要求资格条件的可以报考，有特殊要求的除外。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b w:val="0"/>
          <w:bCs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  <w:t>．</w:t>
      </w:r>
      <w:r>
        <w:rPr>
          <w:rFonts w:ascii="Times New Roman" w:hAnsi="Times New Roman" w:eastAsia="仿宋_GB2312" w:cs="Times New Roman"/>
          <w:b w:val="0"/>
          <w:bCs/>
          <w:color w:val="auto"/>
          <w:sz w:val="32"/>
          <w:szCs w:val="32"/>
        </w:rPr>
        <w:t>考生不得报考低于其所任</w:t>
      </w:r>
      <w:r>
        <w:rPr>
          <w:rFonts w:ascii="Times New Roman" w:hAnsi="Times New Roman" w:eastAsia="仿宋_GB2312" w:cs="Times New Roman"/>
          <w:b w:val="0"/>
          <w:bCs/>
          <w:strike w:val="0"/>
          <w:dstrike w:val="0"/>
          <w:color w:val="auto"/>
          <w:sz w:val="32"/>
          <w:szCs w:val="32"/>
        </w:rPr>
        <w:t>职务</w:t>
      </w:r>
      <w:r>
        <w:rPr>
          <w:rFonts w:ascii="Times New Roman" w:hAnsi="Times New Roman" w:eastAsia="仿宋_GB2312" w:cs="Times New Roman"/>
          <w:b w:val="0"/>
          <w:bCs/>
          <w:color w:val="auto"/>
          <w:sz w:val="32"/>
          <w:szCs w:val="32"/>
        </w:rPr>
        <w:t>职级的遴选职位（如：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  <w:t>三级主任科员</w:t>
      </w:r>
      <w:r>
        <w:rPr>
          <w:rFonts w:ascii="Times New Roman" w:hAnsi="Times New Roman" w:eastAsia="仿宋_GB2312" w:cs="Times New Roman"/>
          <w:b w:val="0"/>
          <w:bCs/>
          <w:color w:val="auto"/>
          <w:sz w:val="32"/>
          <w:szCs w:val="32"/>
        </w:rPr>
        <w:t>不得报考拟任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  <w:t>四</w:t>
      </w:r>
      <w:r>
        <w:rPr>
          <w:rFonts w:ascii="Times New Roman" w:hAnsi="Times New Roman" w:eastAsia="仿宋_GB2312" w:cs="Times New Roman"/>
          <w:b w:val="0"/>
          <w:bCs/>
          <w:color w:val="auto"/>
          <w:sz w:val="32"/>
          <w:szCs w:val="32"/>
        </w:rPr>
        <w:t>级主任科员以下职级的职位）。</w:t>
      </w:r>
    </w:p>
    <w:p>
      <w:pPr>
        <w:spacing w:line="560" w:lineRule="exact"/>
        <w:ind w:left="0" w:firstLine="649"/>
        <w:rPr>
          <w:rFonts w:ascii="微软雅黑" w:hAnsi="微软雅黑"/>
          <w:b w:val="0"/>
          <w:bCs/>
          <w:sz w:val="18"/>
          <w:szCs w:val="18"/>
        </w:rPr>
      </w:pPr>
      <w:r>
        <w:rPr>
          <w:rFonts w:ascii="仿宋_GB2312" w:eastAsia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本</w:t>
      </w:r>
      <w:r>
        <w:rPr>
          <w:rFonts w:hint="eastAsia" w:ascii="仿宋_GB2312" w:eastAsia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报考</w:t>
      </w:r>
      <w:r>
        <w:rPr>
          <w:rFonts w:ascii="仿宋_GB2312" w:eastAsia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提示</w:t>
      </w:r>
      <w:r>
        <w:rPr>
          <w:rFonts w:hint="eastAsia" w:ascii="仿宋_GB2312" w:eastAsia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仅适用于</w:t>
      </w:r>
      <w:r>
        <w:rPr>
          <w:rFonts w:ascii="Times New Roman" w:hAnsi="Times New Roman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2023</w:t>
      </w:r>
      <w:r>
        <w:rPr>
          <w:rFonts w:hint="eastAsia" w:ascii="仿宋_GB2312" w:eastAsia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年度</w:t>
      </w:r>
      <w:r>
        <w:rPr>
          <w:rFonts w:hint="eastAsia" w:ascii="仿宋_GB2312" w:eastAsia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  <w:lang w:eastAsia="zh-CN"/>
        </w:rPr>
        <w:t>自贡市</w:t>
      </w:r>
      <w:r>
        <w:rPr>
          <w:rFonts w:hint="eastAsia" w:ascii="仿宋_GB2312" w:eastAsia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公开遴选公务员工作。</w:t>
      </w:r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>涉及有关具体情况的把握和特殊情况的处理等未尽事宜，可直接电话咨询遴选单位。</w:t>
      </w:r>
    </w:p>
    <w:p>
      <w:pPr>
        <w:spacing w:line="560" w:lineRule="exact"/>
        <w:ind w:left="0" w:firstLine="649"/>
        <w:rPr>
          <w:rFonts w:ascii="Times New Roman" w:hAnsi="Times New Roman" w:eastAsia="仿宋_GB2312" w:cs="Times New Roman"/>
          <w:b/>
          <w:sz w:val="32"/>
          <w:szCs w:val="32"/>
        </w:rPr>
      </w:pPr>
    </w:p>
    <w:p>
      <w:pPr>
        <w:spacing w:line="560" w:lineRule="exact"/>
        <w:ind w:left="0" w:firstLine="649"/>
        <w:rPr>
          <w:rFonts w:ascii="Times New Roman" w:hAnsi="Times New Roman" w:eastAsia="仿宋_GB2312" w:cs="Times New Roman"/>
          <w:b/>
          <w:sz w:val="32"/>
          <w:szCs w:val="32"/>
        </w:rPr>
      </w:pPr>
    </w:p>
    <w:p>
      <w:pPr>
        <w:spacing w:line="560" w:lineRule="exact"/>
        <w:ind w:left="0" w:firstLine="649"/>
        <w:rPr>
          <w:rFonts w:ascii="Times New Roman" w:hAnsi="Times New Roman" w:eastAsia="仿宋_GB2312" w:cs="Times New Roman"/>
          <w:b/>
          <w:sz w:val="32"/>
          <w:szCs w:val="32"/>
        </w:rPr>
      </w:pPr>
    </w:p>
    <w:p>
      <w:pPr>
        <w:spacing w:line="560" w:lineRule="exact"/>
        <w:ind w:left="0" w:firstLine="649"/>
        <w:rPr>
          <w:rFonts w:ascii="Times New Roman" w:hAnsi="Times New Roman" w:eastAsia="仿宋_GB2312" w:cs="Times New Roman"/>
          <w:b/>
          <w:sz w:val="32"/>
          <w:szCs w:val="32"/>
        </w:rPr>
      </w:pPr>
    </w:p>
    <w:p>
      <w:pPr>
        <w:spacing w:line="560" w:lineRule="exact"/>
        <w:ind w:left="0" w:firstLine="649"/>
        <w:rPr>
          <w:rFonts w:ascii="Times New Roman" w:hAnsi="Times New Roman" w:eastAsia="仿宋_GB2312" w:cs="Times New Roman"/>
          <w:b/>
          <w:sz w:val="32"/>
          <w:szCs w:val="32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2098" w:right="1531" w:bottom="1984" w:left="1531" w:header="851" w:footer="1559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Fonts w:hint="eastAsia" w:ascii="宋体"/>
        <w:b/>
        <w:bCs/>
        <w:sz w:val="28"/>
        <w:szCs w:val="28"/>
      </w:rPr>
    </w:pPr>
    <w:r>
      <w:rPr>
        <w:rStyle w:val="11"/>
        <w:rFonts w:hint="eastAsia" w:ascii="宋体"/>
        <w:b/>
        <w:bCs/>
        <w:sz w:val="28"/>
        <w:szCs w:val="28"/>
      </w:rPr>
      <w:fldChar w:fldCharType="begin"/>
    </w:r>
    <w:r>
      <w:rPr>
        <w:rStyle w:val="11"/>
        <w:rFonts w:hint="eastAsia" w:ascii="宋体"/>
        <w:b/>
        <w:bCs/>
        <w:sz w:val="28"/>
        <w:szCs w:val="28"/>
      </w:rPr>
      <w:instrText xml:space="preserve">Page</w:instrText>
    </w:r>
    <w:r>
      <w:rPr>
        <w:rStyle w:val="11"/>
        <w:rFonts w:hint="eastAsia" w:ascii="宋体"/>
        <w:b/>
        <w:bCs/>
        <w:sz w:val="28"/>
        <w:szCs w:val="28"/>
      </w:rPr>
      <w:fldChar w:fldCharType="separate"/>
    </w:r>
    <w:r>
      <w:rPr>
        <w:rStyle w:val="11"/>
        <w:rFonts w:hint="eastAsia" w:ascii="宋体"/>
        <w:b/>
        <w:bCs/>
        <w:sz w:val="28"/>
        <w:szCs w:val="28"/>
      </w:rPr>
      <w:t>— 1 —</w:t>
    </w:r>
    <w:r>
      <w:rPr>
        <w:rStyle w:val="11"/>
        <w:rFonts w:hint="eastAsia" w:ascii="宋体"/>
        <w:b/>
        <w:bCs/>
        <w:sz w:val="28"/>
        <w:szCs w:val="28"/>
      </w:rPr>
      <w:fldChar w:fldCharType="end"/>
    </w:r>
  </w:p>
  <w:p>
    <w:pPr>
      <w:pStyle w:val="5"/>
      <w:ind w:right="360"/>
      <w:rPr>
        <w:rFonts w:hint="eastAsia" w:ascii="宋体"/>
        <w:b/>
        <w:bCs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center"/>
    </w:pPr>
    <w:r>
      <w:rPr>
        <w:rStyle w:val="11"/>
      </w:rPr>
      <w:fldChar w:fldCharType="begin"/>
    </w:r>
    <w:r>
      <w:rPr>
        <w:rStyle w:val="11"/>
      </w:rPr>
      <w:instrText xml:space="preserve">Page</w:instrText>
    </w:r>
    <w:r>
      <w:rPr>
        <w:rStyle w:val="11"/>
      </w:rPr>
      <w:fldChar w:fldCharType="separate"/>
    </w:r>
    <w:r>
      <w:rPr>
        <w:rStyle w:val="11"/>
      </w:rPr>
      <w:t>— 1 —</w:t>
    </w:r>
    <w:r>
      <w:rPr>
        <w:rStyle w:val="11"/>
      </w:rPr>
      <w:fldChar w:fldCharType="end"/>
    </w:r>
  </w:p>
  <w:p>
    <w:pPr>
      <w:pStyle w:val="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11"/>
      </w:rPr>
      <w:fldChar w:fldCharType="begin"/>
    </w:r>
    <w:r>
      <w:rPr>
        <w:rStyle w:val="11"/>
      </w:rPr>
      <w:instrText xml:space="preserve">Page</w:instrText>
    </w:r>
    <w:r>
      <w:rPr>
        <w:rStyle w:val="11"/>
      </w:rPr>
      <w:fldChar w:fldCharType="separate"/>
    </w:r>
    <w:r>
      <w:rPr>
        <w:rStyle w:val="11"/>
      </w:rPr>
      <w:t>— 1 —</w:t>
    </w:r>
    <w:r>
      <w:rPr>
        <w:rStyle w:val="11"/>
      </w:rPr>
      <w:fldChar w:fldCharType="end"/>
    </w:r>
  </w:p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docVars>
    <w:docVar w:name="commondata" w:val="eyJoZGlkIjoiMzYwYzFmNDA1YzM0YTRiZDAyMTA1MTdhYjI2NjY5ZDkifQ=="/>
  </w:docVars>
  <w:rsids>
    <w:rsidRoot w:val="00000000"/>
    <w:rsid w:val="02CB60D7"/>
    <w:rsid w:val="02D22289"/>
    <w:rsid w:val="08022923"/>
    <w:rsid w:val="0C41279E"/>
    <w:rsid w:val="143B2DBD"/>
    <w:rsid w:val="14C15A7E"/>
    <w:rsid w:val="46BB506B"/>
    <w:rsid w:val="57735F13"/>
    <w:rsid w:val="696D1F0F"/>
    <w:rsid w:val="74C128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next w:val="5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="Calibri" w:hAnsi="Calibri" w:eastAsia="宋体" w:cs="Arial"/>
      <w:kern w:val="0"/>
      <w:sz w:val="24"/>
      <w:szCs w:val="24"/>
      <w:lang w:val="en-US" w:eastAsia="zh-CN" w:bidi="ar-SA"/>
    </w:rPr>
  </w:style>
  <w:style w:type="character" w:styleId="10">
    <w:name w:val="Strong"/>
    <w:qFormat/>
    <w:uiPriority w:val="0"/>
    <w:rPr>
      <w:rFonts w:ascii="宋体" w:eastAsia="宋体" w:cs="Times New Roman"/>
      <w:b/>
      <w:kern w:val="2"/>
      <w:sz w:val="24"/>
      <w:szCs w:val="21"/>
      <w:lang w:val="en-US" w:eastAsia="zh-CN" w:bidi="ar-SA"/>
    </w:rPr>
  </w:style>
  <w:style w:type="character" w:styleId="11">
    <w:name w:val="page 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/>
    <sectPr pgNumType="\* ArabicDash2"/>
  </customProps>
</customData>
</file>

<file path=customXml/itemProps1.xml><?xml version="1.0" encoding="utf-8"?>
<ds:datastoreItem xmlns:ds="http://schemas.openxmlformats.org/officeDocument/2006/customXml" ds:itemID="{4EA320BA-B06E-488D-8884-6966E1ECB6D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</Pages>
  <Words>1281</Words>
  <Characters>1307</Characters>
  <Lines>65</Lines>
  <Paragraphs>15</Paragraphs>
  <TotalTime>16</TotalTime>
  <ScaleCrop>false</ScaleCrop>
  <LinksUpToDate>false</LinksUpToDate>
  <CharactersWithSpaces>1311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2020-09-04T06:17:00Z</dcterms:created>
  <dc:creator>John</dc:creator>
  <cp:lastModifiedBy>曾昱</cp:lastModifiedBy>
  <cp:lastPrinted>2023-06-21T08:39:00Z</cp:lastPrinted>
  <dcterms:modified xsi:type="dcterms:W3CDTF">2023-07-06T07:51:17Z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228A55120D2E439B980A06631A66508F_13</vt:lpwstr>
  </property>
</Properties>
</file>