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center"/>
        <w:rPr>
          <w:rFonts w:ascii="瀹嬩綋" w:hAnsi="瀹嬩綋" w:eastAsia="瀹嬩綋" w:cs="瀹嬩綋"/>
          <w:b w:val="0"/>
          <w:i w:val="0"/>
          <w:caps w:val="0"/>
          <w:color w:val="494949"/>
          <w:spacing w:val="0"/>
          <w:sz w:val="18"/>
          <w:szCs w:val="18"/>
        </w:rPr>
      </w:pPr>
      <w:r>
        <w:rPr>
          <w:rFonts w:hint="default" w:ascii="瀹嬩綋" w:hAnsi="瀹嬩綋" w:eastAsia="瀹嬩綋" w:cs="瀹嬩綋"/>
          <w:b w:val="0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lang w:val="en-US" w:eastAsia="zh-CN" w:bidi="ar"/>
        </w:rPr>
        <w:br w:type="textWrapping"/>
      </w:r>
      <w:r>
        <w:rPr>
          <w:rFonts w:hint="default" w:ascii="瀹嬩綋" w:hAnsi="瀹嬩綋" w:eastAsia="瀹嬩綋" w:cs="瀹嬩綋"/>
          <w:b w:val="0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lang w:val="en-US" w:eastAsia="zh-CN" w:bidi="ar"/>
        </w:rPr>
        <w:t>市、县（区）教育部门教师资格认定权限及咨询联络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center"/>
        <w:rPr>
          <w:rFonts w:hint="default" w:ascii="瀹嬩綋" w:hAnsi="瀹嬩綋" w:eastAsia="瀹嬩綋" w:cs="瀹嬩綋"/>
          <w:b w:val="0"/>
          <w:i w:val="0"/>
          <w:caps w:val="0"/>
          <w:color w:val="494949"/>
          <w:spacing w:val="0"/>
          <w:sz w:val="18"/>
          <w:szCs w:val="18"/>
        </w:rPr>
      </w:pPr>
      <w:r>
        <w:rPr>
          <w:rFonts w:hint="default" w:ascii="瀹嬩綋" w:hAnsi="瀹嬩綋" w:eastAsia="瀹嬩綋" w:cs="瀹嬩綋"/>
          <w:b w:val="0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lang w:val="en-US" w:eastAsia="zh-CN" w:bidi="ar"/>
        </w:rPr>
        <w:t>（请按照“谁认定、谁负责”的基本原则，进行联系）</w:t>
      </w:r>
    </w:p>
    <w:tbl>
      <w:tblPr>
        <w:tblW w:w="9971" w:type="dxa"/>
        <w:jc w:val="center"/>
        <w:tblInd w:w="-72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8"/>
        <w:gridCol w:w="1355"/>
        <w:gridCol w:w="2279"/>
        <w:gridCol w:w="2250"/>
        <w:gridCol w:w="15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rPr>
          <w:trHeight w:val="505" w:hRule="atLeast"/>
          <w:jc w:val="center"/>
        </w:trPr>
        <w:tc>
          <w:tcPr>
            <w:tcW w:w="24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Style w:val="3"/>
                <w:rFonts w:ascii="宋体" w:hAnsi="宋体" w:eastAsia="宋体" w:cs="宋体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3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Style w:val="3"/>
                <w:rFonts w:ascii="宋体" w:hAnsi="宋体" w:eastAsia="宋体" w:cs="宋体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22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Style w:val="3"/>
                <w:rFonts w:ascii="宋体" w:hAnsi="宋体" w:eastAsia="宋体" w:cs="宋体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认定权限</w:t>
            </w:r>
          </w:p>
        </w:tc>
        <w:tc>
          <w:tcPr>
            <w:tcW w:w="22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Style w:val="3"/>
                <w:rFonts w:ascii="宋体" w:hAnsi="宋体" w:eastAsia="宋体" w:cs="宋体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现场确认注意事项</w:t>
            </w:r>
          </w:p>
        </w:tc>
        <w:tc>
          <w:tcPr>
            <w:tcW w:w="15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Style w:val="3"/>
                <w:rFonts w:ascii="宋体" w:hAnsi="宋体" w:eastAsia="宋体" w:cs="宋体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网络查询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1" w:hRule="atLeast"/>
          <w:jc w:val="center"/>
        </w:trPr>
        <w:tc>
          <w:tcPr>
            <w:tcW w:w="24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市教育体育局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8222194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56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高中阶段教师资格：高级中学教师资格、中等职业学校教师资格和中等职业学校实习指导教师资格。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56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3"/>
                <w:rFonts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时间地点：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各县（区）申请人参加现场确认，均在申请人户籍或工作单位所在地县（区）教育部门指定的时间和地点进行。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3"/>
                <w:rFonts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特别提示：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高中阶段教师资格认定的现场确认地点不在市教育体育局。申请人认定材料，由各县（区）教育部门现场确认后，统一交市教育体育局认定。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“宜宾教育体育网”首页“公告公示栏”。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24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翠屏区教育局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8205965</w:t>
            </w:r>
          </w:p>
        </w:tc>
        <w:tc>
          <w:tcPr>
            <w:tcW w:w="227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56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初级中学教师资格、小学教师资格、幼儿园教师资格。</w:t>
            </w:r>
          </w:p>
        </w:tc>
        <w:tc>
          <w:tcPr>
            <w:tcW w:w="22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58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具体请电话咨询当地教育部门。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24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南溪区教育和体育局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3307098</w:t>
            </w:r>
          </w:p>
        </w:tc>
        <w:tc>
          <w:tcPr>
            <w:tcW w:w="227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58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24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宜宾县教育和体育局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6613052</w:t>
            </w:r>
          </w:p>
        </w:tc>
        <w:tc>
          <w:tcPr>
            <w:tcW w:w="227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58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24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江安县教育局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2622115</w:t>
            </w:r>
          </w:p>
        </w:tc>
        <w:tc>
          <w:tcPr>
            <w:tcW w:w="227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58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24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长宁县</w:t>
            </w:r>
            <w:r>
              <w:rPr>
                <w:rFonts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教育体育和文化广电局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4626944</w:t>
            </w:r>
          </w:p>
        </w:tc>
        <w:tc>
          <w:tcPr>
            <w:tcW w:w="227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58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24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高县教育体育和文化广电局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5416615</w:t>
            </w:r>
          </w:p>
        </w:tc>
        <w:tc>
          <w:tcPr>
            <w:tcW w:w="227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58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24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筠连县教育和文化广电局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7720787</w:t>
            </w:r>
          </w:p>
        </w:tc>
        <w:tc>
          <w:tcPr>
            <w:tcW w:w="227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58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24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珙县教育和文化广电局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4039865</w:t>
            </w:r>
          </w:p>
        </w:tc>
        <w:tc>
          <w:tcPr>
            <w:tcW w:w="227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58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24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兴文县教育体育和文化广电局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8835037</w:t>
            </w:r>
          </w:p>
        </w:tc>
        <w:tc>
          <w:tcPr>
            <w:tcW w:w="227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58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24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屏山县教育体育和文化广电局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5722272</w:t>
            </w:r>
          </w:p>
        </w:tc>
        <w:tc>
          <w:tcPr>
            <w:tcW w:w="227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58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left"/>
        <w:rPr>
          <w:rFonts w:hint="default" w:ascii="瀹嬩綋" w:hAnsi="瀹嬩綋" w:eastAsia="瀹嬩綋" w:cs="瀹嬩綋"/>
          <w:b w:val="0"/>
          <w:i w:val="0"/>
          <w:caps w:val="0"/>
          <w:color w:val="494949"/>
          <w:spacing w:val="0"/>
          <w:sz w:val="18"/>
          <w:szCs w:val="18"/>
        </w:rPr>
      </w:pPr>
      <w:r>
        <w:rPr>
          <w:rFonts w:hint="default" w:ascii="瀹嬩綋" w:hAnsi="瀹嬩綋" w:eastAsia="瀹嬩綋" w:cs="瀹嬩綋"/>
          <w:b w:val="0"/>
          <w:i w:val="0"/>
          <w:caps w:val="0"/>
          <w:color w:val="494949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Times New Roman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瀹嬩綋">
    <w:altName w:val="Malgun Gothi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C6C13B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2017-03-24T07:23:40Z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