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840" w:lineRule="atLeast"/>
        <w:ind w:left="0" w:right="0" w:firstLine="0"/>
        <w:jc w:val="center"/>
        <w:rPr>
          <w:rFonts w:hint="eastAsia" w:ascii="微软雅黑" w:hAnsi="微软雅黑" w:eastAsia="微软雅黑" w:cs="微软雅黑"/>
          <w:b w:val="0"/>
          <w:i w:val="0"/>
          <w:caps w:val="0"/>
          <w:color w:val="000000"/>
          <w:spacing w:val="0"/>
          <w:sz w:val="42"/>
          <w:szCs w:val="42"/>
        </w:rPr>
      </w:pPr>
      <w:bookmarkStart w:id="2" w:name="_GoBack"/>
      <w:r>
        <w:rPr>
          <w:rFonts w:hint="eastAsia" w:ascii="微软雅黑" w:hAnsi="微软雅黑" w:eastAsia="微软雅黑" w:cs="微软雅黑"/>
          <w:b w:val="0"/>
          <w:i w:val="0"/>
          <w:caps w:val="0"/>
          <w:color w:val="000000"/>
          <w:spacing w:val="0"/>
          <w:sz w:val="42"/>
          <w:szCs w:val="42"/>
          <w:bdr w:val="none" w:color="auto" w:sz="0" w:space="0"/>
          <w:shd w:val="clear" w:fill="FFFFFF"/>
        </w:rPr>
        <w:t>重庆市2017年下半年中小学教师资格考试面试公告</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根据教育部关于印发《中小学教师资格考试暂行办法》《中小学教师资格定期注册暂行办法》（教师〔2013〕117号）的通知精神，结合教育部考试中心下发的《关于2017年下半年中小学教师资格考试考务相关事项的通知》（教试中心函〔2017〕137号）和重庆市教育委员会《关于印发重庆市中小学教师资格考试改革试点工作实施方案和重庆市中小学教师资格定期注册制度改革试点工作实施方案的通知》（渝教师〔2015〕18号）相关规定，现将我市2017年下半年中小学教师资格考试面试有关事项公告如下：</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一、时间安排</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网上报名时间：2017年12月12-15日；</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现场审核时间：2017年12月12-21日（周末除外，详见附件1）；</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网上缴费截止时间：2017年12月22日；</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考试时间：2018年1月6-7日（具体时间以准考证为准）。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二、报考对象</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（一）基本条件。报名参加重庆市教师资格全国统一考试需要符合以下基本条件：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1.户籍或人事档案关系在重庆市的中华人民共和国公民。在渝全日制普通高校在校三年级及以上年级学生，可凭学校学籍管理部门出具的在籍学习证明报考。</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2.遵守宪法和法律，热爱教育事业，具有良好的思想品德。被撤销教师资格的人员，5年内不得报名参加考试；受到剥夺政治权利，或故意犯罪受到有期徒刑以上刑事处罚的，不得报名参加考试。</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3.具备符合教师从事教师工作的身体条件。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学历条件。报考幼儿园教师资格人员，应当具备经重庆市教育委员会审定合格的中等师范类学前教育专业毕业学历或具备大学专科毕业及以上学历；报考小学教师资格人员，应当具备大学专科毕业及以上学历；报考初级中学、高级中学和中等职业学校教师资格人员，应当具备大学本科毕业及以上学历；报考中等职业学校实习指导教师资格人员，应当具备大学专科毕业及其以上学历，且具有相当助理工程师及以上专业技术职务或中级及以上工人技术等级。</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(三)成绩条件。参加全国中小学教师资格考试各科笔试成绩合格且在2年有效期内的考生。</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三、报名及现场确认</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（一）网上报名</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考生登录中小学教师资格考试网（</w:t>
      </w:r>
      <w:r>
        <w:rPr>
          <w:rFonts w:hint="eastAsia" w:ascii="微软雅黑" w:hAnsi="微软雅黑" w:eastAsia="微软雅黑" w:cs="微软雅黑"/>
          <w:b w:val="0"/>
          <w:i w:val="0"/>
          <w:caps w:val="0"/>
          <w:color w:val="256EB1"/>
          <w:spacing w:val="0"/>
          <w:sz w:val="21"/>
          <w:szCs w:val="21"/>
          <w:u w:val="none"/>
          <w:shd w:val="clear" w:fill="FFFFFF"/>
        </w:rPr>
        <w:fldChar w:fldCharType="begin"/>
      </w:r>
      <w:r>
        <w:rPr>
          <w:rFonts w:hint="eastAsia" w:ascii="微软雅黑" w:hAnsi="微软雅黑" w:eastAsia="微软雅黑" w:cs="微软雅黑"/>
          <w:b w:val="0"/>
          <w:i w:val="0"/>
          <w:caps w:val="0"/>
          <w:color w:val="256EB1"/>
          <w:spacing w:val="0"/>
          <w:sz w:val="21"/>
          <w:szCs w:val="21"/>
          <w:u w:val="none"/>
          <w:shd w:val="clear" w:fill="FFFFFF"/>
        </w:rPr>
        <w:instrText xml:space="preserve"> HYPERLINK "http://www.ntce.cn/" \t "http://www.ntce.cn/html1/report/1712/_blank" </w:instrText>
      </w:r>
      <w:r>
        <w:rPr>
          <w:rFonts w:hint="eastAsia" w:ascii="微软雅黑" w:hAnsi="微软雅黑" w:eastAsia="微软雅黑" w:cs="微软雅黑"/>
          <w:b w:val="0"/>
          <w:i w:val="0"/>
          <w:caps w:val="0"/>
          <w:color w:val="256EB1"/>
          <w:spacing w:val="0"/>
          <w:sz w:val="21"/>
          <w:szCs w:val="21"/>
          <w:u w:val="none"/>
          <w:shd w:val="clear" w:fill="FFFFFF"/>
        </w:rPr>
        <w:fldChar w:fldCharType="separate"/>
      </w:r>
      <w:r>
        <w:rPr>
          <w:rStyle w:val="7"/>
          <w:rFonts w:hint="eastAsia" w:ascii="微软雅黑" w:hAnsi="微软雅黑" w:eastAsia="微软雅黑" w:cs="微软雅黑"/>
          <w:b w:val="0"/>
          <w:i w:val="0"/>
          <w:caps w:val="0"/>
          <w:color w:val="256EB1"/>
          <w:spacing w:val="0"/>
          <w:sz w:val="21"/>
          <w:szCs w:val="21"/>
          <w:u w:val="none"/>
          <w:shd w:val="clear" w:fill="FFFFFF"/>
        </w:rPr>
        <w:t>www.ntce.cn</w:t>
      </w:r>
      <w:r>
        <w:rPr>
          <w:rFonts w:hint="eastAsia" w:ascii="微软雅黑" w:hAnsi="微软雅黑" w:eastAsia="微软雅黑" w:cs="微软雅黑"/>
          <w:b w:val="0"/>
          <w:i w:val="0"/>
          <w:caps w:val="0"/>
          <w:color w:val="256EB1"/>
          <w:spacing w:val="0"/>
          <w:sz w:val="21"/>
          <w:szCs w:val="21"/>
          <w:u w:val="none"/>
          <w:shd w:val="clear" w:fill="FFFFFF"/>
        </w:rPr>
        <w:fldChar w:fldCharType="end"/>
      </w:r>
      <w:r>
        <w:rPr>
          <w:rFonts w:hint="eastAsia" w:ascii="微软雅黑" w:hAnsi="微软雅黑" w:eastAsia="微软雅黑" w:cs="微软雅黑"/>
          <w:b w:val="0"/>
          <w:i w:val="0"/>
          <w:caps w:val="0"/>
          <w:color w:val="333333"/>
          <w:spacing w:val="0"/>
          <w:sz w:val="21"/>
          <w:szCs w:val="21"/>
          <w:shd w:val="clear" w:fill="FFFFFF"/>
        </w:rPr>
        <w:t>），按照栏目指引进行网上报名，选择报考考区、面试类别、面试科目（附件5），完成其他信息录入。</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特别提示：中职专业课、中职实习指导、日语（初级中学）、  俄语（初级中学）、心理健康教育（初级中学）、日语（高级中学）、俄语（高级中学）、心理健康教育（高级中学）、日语（中职文化课）、俄语（中职文化课）、心理健康教育（中职文化课）教师资格面试将在重庆科技学院进行，考生只能选择“重庆科技学院” 考区报名，其它考区不接收以上科目的教师资格考试面试的报考。</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（二）现场审核及材料准备</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1、重庆市内普通院校全日制大三年级及以上在校生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①有效身份证原件和复印件；</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②考生本人学生证和就读学校出具的学籍证明（使用附件3样式）。</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备注：重庆市外普通院校全日制在校生不能在重庆报考，请回高校所在地报考。</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2、户籍在重庆市内的已毕业考生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①有效身份证原件和复印件（正、反面纵向复印在一张</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A4纸上）;</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②户口本原件（主副页）和复印件（户主页与本人页的</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正面纵向复印在一张A4纸上）;</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③毕业证书原件和复印件; </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④学历证书电子注册备案表（登陆学信网 </w:t>
      </w:r>
      <w:r>
        <w:rPr>
          <w:rFonts w:hint="eastAsia" w:ascii="微软雅黑" w:hAnsi="微软雅黑" w:eastAsia="微软雅黑" w:cs="微软雅黑"/>
          <w:b w:val="0"/>
          <w:i w:val="0"/>
          <w:caps w:val="0"/>
          <w:color w:val="256EB1"/>
          <w:spacing w:val="0"/>
          <w:sz w:val="21"/>
          <w:szCs w:val="21"/>
          <w:u w:val="none"/>
          <w:shd w:val="clear" w:fill="FFFFFF"/>
        </w:rPr>
        <w:fldChar w:fldCharType="begin"/>
      </w:r>
      <w:r>
        <w:rPr>
          <w:rFonts w:hint="eastAsia" w:ascii="微软雅黑" w:hAnsi="微软雅黑" w:eastAsia="微软雅黑" w:cs="微软雅黑"/>
          <w:b w:val="0"/>
          <w:i w:val="0"/>
          <w:caps w:val="0"/>
          <w:color w:val="256EB1"/>
          <w:spacing w:val="0"/>
          <w:sz w:val="21"/>
          <w:szCs w:val="21"/>
          <w:u w:val="none"/>
          <w:shd w:val="clear" w:fill="FFFFFF"/>
        </w:rPr>
        <w:instrText xml:space="preserve"> HYPERLINK "http://www.chsi.com.cn/" </w:instrText>
      </w:r>
      <w:r>
        <w:rPr>
          <w:rFonts w:hint="eastAsia" w:ascii="微软雅黑" w:hAnsi="微软雅黑" w:eastAsia="微软雅黑" w:cs="微软雅黑"/>
          <w:b w:val="0"/>
          <w:i w:val="0"/>
          <w:caps w:val="0"/>
          <w:color w:val="256EB1"/>
          <w:spacing w:val="0"/>
          <w:sz w:val="21"/>
          <w:szCs w:val="21"/>
          <w:u w:val="none"/>
          <w:shd w:val="clear" w:fill="FFFFFF"/>
        </w:rPr>
        <w:fldChar w:fldCharType="separate"/>
      </w:r>
      <w:r>
        <w:rPr>
          <w:rStyle w:val="7"/>
          <w:rFonts w:hint="eastAsia" w:ascii="微软雅黑" w:hAnsi="微软雅黑" w:eastAsia="微软雅黑" w:cs="微软雅黑"/>
          <w:b w:val="0"/>
          <w:i w:val="0"/>
          <w:caps w:val="0"/>
          <w:color w:val="256EB1"/>
          <w:spacing w:val="0"/>
          <w:sz w:val="21"/>
          <w:szCs w:val="21"/>
          <w:u w:val="none"/>
          <w:shd w:val="clear" w:fill="FFFFFF"/>
        </w:rPr>
        <w:t>www.chsi.com.cn</w:t>
      </w:r>
      <w:r>
        <w:rPr>
          <w:rFonts w:hint="eastAsia" w:ascii="微软雅黑" w:hAnsi="微软雅黑" w:eastAsia="微软雅黑" w:cs="微软雅黑"/>
          <w:b w:val="0"/>
          <w:i w:val="0"/>
          <w:caps w:val="0"/>
          <w:color w:val="256EB1"/>
          <w:spacing w:val="0"/>
          <w:sz w:val="21"/>
          <w:szCs w:val="21"/>
          <w:u w:val="none"/>
          <w:shd w:val="clear" w:fill="FFFFFF"/>
        </w:rPr>
        <w:fldChar w:fldCharType="end"/>
      </w:r>
      <w:r>
        <w:rPr>
          <w:rFonts w:hint="eastAsia" w:ascii="微软雅黑" w:hAnsi="微软雅黑" w:eastAsia="微软雅黑" w:cs="微软雅黑"/>
          <w:b w:val="0"/>
          <w:i w:val="0"/>
          <w:caps w:val="0"/>
          <w:color w:val="333333"/>
          <w:spacing w:val="0"/>
          <w:sz w:val="21"/>
          <w:szCs w:val="21"/>
          <w:shd w:val="clear" w:fill="FFFFFF"/>
        </w:rPr>
        <w:t>  打印）。</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3、户籍不在重庆市内，但人事档案关系在重庆市内的已毕业考生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①有效身份证原件和复印件（正、反面纵向复印在一张A4纸上）；</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②档案证明，由具有档案管理权限的机构出具（使用附件2样式）；</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③毕业证书原件和复印件; </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④学历证书电子注册备案表（登陆学信网 </w:t>
      </w:r>
      <w:r>
        <w:rPr>
          <w:rFonts w:hint="eastAsia" w:ascii="微软雅黑" w:hAnsi="微软雅黑" w:eastAsia="微软雅黑" w:cs="微软雅黑"/>
          <w:b w:val="0"/>
          <w:i w:val="0"/>
          <w:caps w:val="0"/>
          <w:color w:val="256EB1"/>
          <w:spacing w:val="0"/>
          <w:sz w:val="21"/>
          <w:szCs w:val="21"/>
          <w:u w:val="none"/>
          <w:shd w:val="clear" w:fill="FFFFFF"/>
        </w:rPr>
        <w:fldChar w:fldCharType="begin"/>
      </w:r>
      <w:r>
        <w:rPr>
          <w:rFonts w:hint="eastAsia" w:ascii="微软雅黑" w:hAnsi="微软雅黑" w:eastAsia="微软雅黑" w:cs="微软雅黑"/>
          <w:b w:val="0"/>
          <w:i w:val="0"/>
          <w:caps w:val="0"/>
          <w:color w:val="256EB1"/>
          <w:spacing w:val="0"/>
          <w:sz w:val="21"/>
          <w:szCs w:val="21"/>
          <w:u w:val="none"/>
          <w:shd w:val="clear" w:fill="FFFFFF"/>
        </w:rPr>
        <w:instrText xml:space="preserve"> HYPERLINK "http://www.chsi.com.cn/" </w:instrText>
      </w:r>
      <w:r>
        <w:rPr>
          <w:rFonts w:hint="eastAsia" w:ascii="微软雅黑" w:hAnsi="微软雅黑" w:eastAsia="微软雅黑" w:cs="微软雅黑"/>
          <w:b w:val="0"/>
          <w:i w:val="0"/>
          <w:caps w:val="0"/>
          <w:color w:val="256EB1"/>
          <w:spacing w:val="0"/>
          <w:sz w:val="21"/>
          <w:szCs w:val="21"/>
          <w:u w:val="none"/>
          <w:shd w:val="clear" w:fill="FFFFFF"/>
        </w:rPr>
        <w:fldChar w:fldCharType="separate"/>
      </w:r>
      <w:r>
        <w:rPr>
          <w:rStyle w:val="7"/>
          <w:rFonts w:hint="eastAsia" w:ascii="微软雅黑" w:hAnsi="微软雅黑" w:eastAsia="微软雅黑" w:cs="微软雅黑"/>
          <w:b w:val="0"/>
          <w:i w:val="0"/>
          <w:caps w:val="0"/>
          <w:color w:val="256EB1"/>
          <w:spacing w:val="0"/>
          <w:sz w:val="21"/>
          <w:szCs w:val="21"/>
          <w:u w:val="none"/>
          <w:shd w:val="clear" w:fill="FFFFFF"/>
        </w:rPr>
        <w:t>www.chsi.com.cn</w:t>
      </w:r>
      <w:r>
        <w:rPr>
          <w:rFonts w:hint="eastAsia" w:ascii="微软雅黑" w:hAnsi="微软雅黑" w:eastAsia="微软雅黑" w:cs="微软雅黑"/>
          <w:b w:val="0"/>
          <w:i w:val="0"/>
          <w:caps w:val="0"/>
          <w:color w:val="256EB1"/>
          <w:spacing w:val="0"/>
          <w:sz w:val="21"/>
          <w:szCs w:val="21"/>
          <w:u w:val="none"/>
          <w:shd w:val="clear" w:fill="FFFFFF"/>
        </w:rPr>
        <w:fldChar w:fldCharType="end"/>
      </w:r>
      <w:r>
        <w:rPr>
          <w:rFonts w:hint="eastAsia" w:ascii="微软雅黑" w:hAnsi="微软雅黑" w:eastAsia="微软雅黑" w:cs="微软雅黑"/>
          <w:b w:val="0"/>
          <w:i w:val="0"/>
          <w:caps w:val="0"/>
          <w:color w:val="333333"/>
          <w:spacing w:val="0"/>
          <w:sz w:val="21"/>
          <w:szCs w:val="21"/>
          <w:shd w:val="clear" w:fill="FFFFFF"/>
        </w:rPr>
        <w:t>  打印）。</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(三)网上缴费</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现场确认通过后，考生务必在规定时间内进行网上缴费，并确认缴费成功。根据《市物价局市财政局关于调整教师资格考试收费主体及标准的通知》（渝价〔2015〕322号）相关规定，我市面试报考费为280元。</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(四)打印准考证</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2018年1月1日至7日，考生须登录中小学教师资格考试网（</w:t>
      </w:r>
      <w:r>
        <w:rPr>
          <w:rFonts w:hint="eastAsia" w:ascii="微软雅黑" w:hAnsi="微软雅黑" w:eastAsia="微软雅黑" w:cs="微软雅黑"/>
          <w:b w:val="0"/>
          <w:i w:val="0"/>
          <w:caps w:val="0"/>
          <w:color w:val="256EB1"/>
          <w:spacing w:val="0"/>
          <w:sz w:val="21"/>
          <w:szCs w:val="21"/>
          <w:u w:val="none"/>
          <w:shd w:val="clear" w:fill="FFFFFF"/>
        </w:rPr>
        <w:fldChar w:fldCharType="begin"/>
      </w:r>
      <w:r>
        <w:rPr>
          <w:rFonts w:hint="eastAsia" w:ascii="微软雅黑" w:hAnsi="微软雅黑" w:eastAsia="微软雅黑" w:cs="微软雅黑"/>
          <w:b w:val="0"/>
          <w:i w:val="0"/>
          <w:caps w:val="0"/>
          <w:color w:val="256EB1"/>
          <w:spacing w:val="0"/>
          <w:sz w:val="21"/>
          <w:szCs w:val="21"/>
          <w:u w:val="none"/>
          <w:shd w:val="clear" w:fill="FFFFFF"/>
        </w:rPr>
        <w:instrText xml:space="preserve"> HYPERLINK "http://www.ntce.cn/" \t "http://www.ntce.cn/html1/report/1712/_blank" </w:instrText>
      </w:r>
      <w:r>
        <w:rPr>
          <w:rFonts w:hint="eastAsia" w:ascii="微软雅黑" w:hAnsi="微软雅黑" w:eastAsia="微软雅黑" w:cs="微软雅黑"/>
          <w:b w:val="0"/>
          <w:i w:val="0"/>
          <w:caps w:val="0"/>
          <w:color w:val="256EB1"/>
          <w:spacing w:val="0"/>
          <w:sz w:val="21"/>
          <w:szCs w:val="21"/>
          <w:u w:val="none"/>
          <w:shd w:val="clear" w:fill="FFFFFF"/>
        </w:rPr>
        <w:fldChar w:fldCharType="separate"/>
      </w:r>
      <w:r>
        <w:rPr>
          <w:rStyle w:val="7"/>
          <w:rFonts w:hint="eastAsia" w:ascii="微软雅黑" w:hAnsi="微软雅黑" w:eastAsia="微软雅黑" w:cs="微软雅黑"/>
          <w:b w:val="0"/>
          <w:i w:val="0"/>
          <w:caps w:val="0"/>
          <w:color w:val="256EB1"/>
          <w:spacing w:val="0"/>
          <w:sz w:val="21"/>
          <w:szCs w:val="21"/>
          <w:u w:val="none"/>
          <w:shd w:val="clear" w:fill="FFFFFF"/>
        </w:rPr>
        <w:t>www.ntce.cn</w:t>
      </w:r>
      <w:r>
        <w:rPr>
          <w:rFonts w:hint="eastAsia" w:ascii="微软雅黑" w:hAnsi="微软雅黑" w:eastAsia="微软雅黑" w:cs="微软雅黑"/>
          <w:b w:val="0"/>
          <w:i w:val="0"/>
          <w:caps w:val="0"/>
          <w:color w:val="256EB1"/>
          <w:spacing w:val="0"/>
          <w:sz w:val="21"/>
          <w:szCs w:val="21"/>
          <w:u w:val="none"/>
          <w:shd w:val="clear" w:fill="FFFFFF"/>
        </w:rPr>
        <w:fldChar w:fldCharType="end"/>
      </w:r>
      <w:r>
        <w:rPr>
          <w:rFonts w:hint="eastAsia" w:ascii="微软雅黑" w:hAnsi="微软雅黑" w:eastAsia="微软雅黑" w:cs="微软雅黑"/>
          <w:b w:val="0"/>
          <w:i w:val="0"/>
          <w:caps w:val="0"/>
          <w:color w:val="333333"/>
          <w:spacing w:val="0"/>
          <w:sz w:val="21"/>
          <w:szCs w:val="21"/>
          <w:shd w:val="clear" w:fill="FFFFFF"/>
        </w:rPr>
        <w:t>）打印面试准考证，并按照准考证上指定的时间、地点参加面试。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(五)现场审核地点见附件1。</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四、面试内容</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 考核内容</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遵循《中小学和幼儿园教师资格考试标准》和《考试大纲》（面试部分），主要考核申请人职业道德、心理素质、仪表仪态、言语表达、思维品质等教学基本素养和教学设计、教学实施、教学评价等教学基本技能。</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(二)面试方法</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采用结构化面试、情景模拟等方法，通过备课、试讲、答辩等方式进行。面试统一使用教育部考试中心下发的面试测评系统。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(三)面试过程</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1．候考：考生持面试准考证、身份证，按时到达考试地点，进入候考室候考。</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2．抽题：按考点安排，登录面试测评软件系统，计算机从题库中随机抽取试题（幼儿园类别考生从抽取的2道试题中任选1道，其余类别只抽取1道试题），经考生确认后，系统打印试题清单。</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3．备课：考生持备课纸、试题清单进入备课室，撰写教案（或演示活动方案），备课20分钟。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4．回答规定问题。考官从题库中随机抽取2个规定问题，考生回答，时间5分钟。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5．试讲/演示：考生按照准备的教案（或活动方案）进行试讲（或演示），时间10分钟。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6．答辩：考官围绕考生试讲（或演示）内容和测试项目进行提问，考生答辩，时间5分钟。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7．中职文化课（公共科目）类别考生面试与高中类别一致，报考中职专业课、中职实习指导、日语（初级中学）、  俄语（初级中学）、心理健康教育（初级中学）、日语（高级中学）、俄语（高级中学）、心理健康教育（高级中学）、日语（中职文化课）、俄语（中职文化课）、心理健康教育（中职文化课）教师资格的考生面试时，需加试专业知识概述，时间5分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8．评分：考官依据评分标准对考生面试表现进行综合评分，填写《面试评分表》，经组长签字确认，同时通过面试测评系统提交评分。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(四)考试成绩</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面试总分为100分。考生成绩由各分项得分加权累加而得（各项目权重由《考试大纲》规定）。</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(五)面试大纲</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登录中小学教师资格考试网（</w:t>
      </w:r>
      <w:r>
        <w:rPr>
          <w:rFonts w:hint="eastAsia" w:ascii="微软雅黑" w:hAnsi="微软雅黑" w:eastAsia="微软雅黑" w:cs="微软雅黑"/>
          <w:b w:val="0"/>
          <w:i w:val="0"/>
          <w:caps w:val="0"/>
          <w:color w:val="256EB1"/>
          <w:spacing w:val="0"/>
          <w:sz w:val="21"/>
          <w:szCs w:val="21"/>
          <w:u w:val="none"/>
          <w:shd w:val="clear" w:fill="FFFFFF"/>
        </w:rPr>
        <w:fldChar w:fldCharType="begin"/>
      </w:r>
      <w:r>
        <w:rPr>
          <w:rFonts w:hint="eastAsia" w:ascii="微软雅黑" w:hAnsi="微软雅黑" w:eastAsia="微软雅黑" w:cs="微软雅黑"/>
          <w:b w:val="0"/>
          <w:i w:val="0"/>
          <w:caps w:val="0"/>
          <w:color w:val="256EB1"/>
          <w:spacing w:val="0"/>
          <w:sz w:val="21"/>
          <w:szCs w:val="21"/>
          <w:u w:val="none"/>
          <w:shd w:val="clear" w:fill="FFFFFF"/>
        </w:rPr>
        <w:instrText xml:space="preserve"> HYPERLINK "http://www.ntce.cn/" \t "http://www.ntce.cn/html1/report/1712/_blank" </w:instrText>
      </w:r>
      <w:r>
        <w:rPr>
          <w:rFonts w:hint="eastAsia" w:ascii="微软雅黑" w:hAnsi="微软雅黑" w:eastAsia="微软雅黑" w:cs="微软雅黑"/>
          <w:b w:val="0"/>
          <w:i w:val="0"/>
          <w:caps w:val="0"/>
          <w:color w:val="256EB1"/>
          <w:spacing w:val="0"/>
          <w:sz w:val="21"/>
          <w:szCs w:val="21"/>
          <w:u w:val="none"/>
          <w:shd w:val="clear" w:fill="FFFFFF"/>
        </w:rPr>
        <w:fldChar w:fldCharType="separate"/>
      </w:r>
      <w:r>
        <w:rPr>
          <w:rStyle w:val="7"/>
          <w:rFonts w:hint="eastAsia" w:ascii="微软雅黑" w:hAnsi="微软雅黑" w:eastAsia="微软雅黑" w:cs="微软雅黑"/>
          <w:b w:val="0"/>
          <w:i w:val="0"/>
          <w:caps w:val="0"/>
          <w:color w:val="256EB1"/>
          <w:spacing w:val="0"/>
          <w:sz w:val="21"/>
          <w:szCs w:val="21"/>
          <w:u w:val="none"/>
          <w:shd w:val="clear" w:fill="FFFFFF"/>
        </w:rPr>
        <w:t>www.ntce.cn</w:t>
      </w:r>
      <w:r>
        <w:rPr>
          <w:rFonts w:hint="eastAsia" w:ascii="微软雅黑" w:hAnsi="微软雅黑" w:eastAsia="微软雅黑" w:cs="微软雅黑"/>
          <w:b w:val="0"/>
          <w:i w:val="0"/>
          <w:caps w:val="0"/>
          <w:color w:val="256EB1"/>
          <w:spacing w:val="0"/>
          <w:sz w:val="21"/>
          <w:szCs w:val="21"/>
          <w:u w:val="none"/>
          <w:shd w:val="clear" w:fill="FFFFFF"/>
        </w:rPr>
        <w:fldChar w:fldCharType="end"/>
      </w:r>
      <w:r>
        <w:rPr>
          <w:rFonts w:hint="eastAsia" w:ascii="微软雅黑" w:hAnsi="微软雅黑" w:eastAsia="微软雅黑" w:cs="微软雅黑"/>
          <w:b w:val="0"/>
          <w:i w:val="0"/>
          <w:caps w:val="0"/>
          <w:color w:val="333333"/>
          <w:spacing w:val="0"/>
          <w:sz w:val="21"/>
          <w:szCs w:val="21"/>
          <w:shd w:val="clear" w:fill="FFFFFF"/>
        </w:rPr>
        <w:t>）查询, 中职专业课和实习指导教师面试参照《重庆市中小学教师资格中职考试大纲(试行)》执行（附件6），中职专业课和实习指导教师面试教材（附件7）。</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五、违规处理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考试违规按照《国家教育考试违规处理办法》（中华人民共和国教育部令第33号）和《中华人民共和国刑法修正案（九）》等相关规定处理。</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六、成绩查询</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考生可于2018年3月6日登录网站（</w:t>
      </w:r>
      <w:r>
        <w:rPr>
          <w:rFonts w:hint="eastAsia" w:ascii="微软雅黑" w:hAnsi="微软雅黑" w:eastAsia="微软雅黑" w:cs="微软雅黑"/>
          <w:b w:val="0"/>
          <w:i w:val="0"/>
          <w:caps w:val="0"/>
          <w:color w:val="256EB1"/>
          <w:spacing w:val="0"/>
          <w:sz w:val="21"/>
          <w:szCs w:val="21"/>
          <w:u w:val="none"/>
          <w:shd w:val="clear" w:fill="FFFFFF"/>
        </w:rPr>
        <w:fldChar w:fldCharType="begin"/>
      </w:r>
      <w:r>
        <w:rPr>
          <w:rFonts w:hint="eastAsia" w:ascii="微软雅黑" w:hAnsi="微软雅黑" w:eastAsia="微软雅黑" w:cs="微软雅黑"/>
          <w:b w:val="0"/>
          <w:i w:val="0"/>
          <w:caps w:val="0"/>
          <w:color w:val="256EB1"/>
          <w:spacing w:val="0"/>
          <w:sz w:val="21"/>
          <w:szCs w:val="21"/>
          <w:u w:val="none"/>
          <w:shd w:val="clear" w:fill="FFFFFF"/>
        </w:rPr>
        <w:instrText xml:space="preserve"> HYPERLINK "http://www.ntce.cn/" </w:instrText>
      </w:r>
      <w:r>
        <w:rPr>
          <w:rFonts w:hint="eastAsia" w:ascii="微软雅黑" w:hAnsi="微软雅黑" w:eastAsia="微软雅黑" w:cs="微软雅黑"/>
          <w:b w:val="0"/>
          <w:i w:val="0"/>
          <w:caps w:val="0"/>
          <w:color w:val="256EB1"/>
          <w:spacing w:val="0"/>
          <w:sz w:val="21"/>
          <w:szCs w:val="21"/>
          <w:u w:val="none"/>
          <w:shd w:val="clear" w:fill="FFFFFF"/>
        </w:rPr>
        <w:fldChar w:fldCharType="separate"/>
      </w:r>
      <w:r>
        <w:rPr>
          <w:rStyle w:val="7"/>
          <w:rFonts w:hint="eastAsia" w:ascii="微软雅黑" w:hAnsi="微软雅黑" w:eastAsia="微软雅黑" w:cs="微软雅黑"/>
          <w:b w:val="0"/>
          <w:i w:val="0"/>
          <w:caps w:val="0"/>
          <w:color w:val="256EB1"/>
          <w:spacing w:val="0"/>
          <w:sz w:val="21"/>
          <w:szCs w:val="21"/>
          <w:u w:val="none"/>
          <w:shd w:val="clear" w:fill="FFFFFF"/>
        </w:rPr>
        <w:t>www.ntce.cn</w:t>
      </w:r>
      <w:r>
        <w:rPr>
          <w:rFonts w:hint="eastAsia" w:ascii="微软雅黑" w:hAnsi="微软雅黑" w:eastAsia="微软雅黑" w:cs="微软雅黑"/>
          <w:b w:val="0"/>
          <w:i w:val="0"/>
          <w:caps w:val="0"/>
          <w:color w:val="256EB1"/>
          <w:spacing w:val="0"/>
          <w:sz w:val="21"/>
          <w:szCs w:val="21"/>
          <w:u w:val="none"/>
          <w:shd w:val="clear" w:fill="FFFFFF"/>
        </w:rPr>
        <w:fldChar w:fldCharType="end"/>
      </w:r>
      <w:r>
        <w:rPr>
          <w:rFonts w:hint="eastAsia" w:ascii="微软雅黑" w:hAnsi="微软雅黑" w:eastAsia="微软雅黑" w:cs="微软雅黑"/>
          <w:b w:val="0"/>
          <w:i w:val="0"/>
          <w:caps w:val="0"/>
          <w:color w:val="333333"/>
          <w:spacing w:val="0"/>
          <w:sz w:val="21"/>
          <w:szCs w:val="21"/>
          <w:shd w:val="clear" w:fill="FFFFFF"/>
        </w:rPr>
        <w:t>）查询面试结果。考生如对本人的面试成绩有异议，可在面试成绩公布5日内向当地考试机构提出成绩复核申请。复核后的结果由当地考试机构告知考生。</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七、合格证明</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根据教育部考试中心的统一安排，从2015年下半年起将不再打印、补办、下发纸质《中小学教师资格考试合格证明》，改由考生自行通过教育部考试中心中小学教师资格考试网站“合格证查询”栏目，查询、下载、打印PDF格式“网页版”的考试合格证明，提供给认定部门使用。（注：考生在查询合格证明时，输入“身份证号”和“姓名”两项信息即可，“准考证号”信息可以不用输入。）</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八、注意事项</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（一）考生须本人通过教师资格考试网上报名系统进行报名，并对本人所填报的个人信息和报考信息准确性负责， 如有违反而造成信息有误，责任由考生本人承担。</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（二）2017年上半年之前笔试合格的考生，在面试报名前需要重新进行注册和填报个人信息，重新注册操作不影响考生的面试报名资格。参加2017年下半年笔试合格的考生，不用重新注册。</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考生所报类别笔试各科目均合格，且成绩在有效期内的考生，方具备面试报名资格。网上报名系统有判别考生笔试成绩是否具备报名资格的功能，笔试成绩不具备报名资格的考生将无法进行面试网上报名操作。</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（四）考生如忘记注册密码可通过以下三种途径重置。</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1.自助重置密码   </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考生可通过回答注册时预设的“密码保护问题”自助重置密码。 </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2.短信获取密码   </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考生可通过报名注册时所填写的手机号码短信获取密码。注：手机短信为考生重新获取密码的重要途径，在参加中小学教师资格考试期间，请考生慎重更换手机号码。 </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3.拨打考试中心客服电话</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考生可在工作时间内通过拨打教育部考试中心客服电话进行密码重置。（客服电话010-82345677）  </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九、认定事宜</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已通过中小学教师资格考试（笔试和面试）的考生，可自行登录中小学教师资格考试网站（www.ntce.cn）下载、彩色打印PDF版本考试合格证明，在考试合格证明有效期内向户籍或个人档案所在地的区县教育行政部门申请认定相应的教师资格，具体报名时间、流程、需提交的材料等事宜，参见当年的社会人员教师资格认定的文件通知。</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1.重庆市2017年下半年中小学教师资格考试面试报名考区及现场确认点</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2.档案证明（范本）</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3.学籍证明（范本）</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4.中小学教师资格考试网上报名及缴费流程图</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5.中小学教师资格考试（面试）科目代码列表</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6.中职专业课及中职实习指导教师资格面试考试大纲(试行)</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7.中职专业课及中职实习指导教师面试教材</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8.</w:t>
      </w:r>
      <w:bookmarkStart w:id="0" w:name="_Toc280194990"/>
      <w:bookmarkEnd w:id="0"/>
      <w:bookmarkStart w:id="1" w:name="_Toc279152434"/>
      <w:r>
        <w:rPr>
          <w:rFonts w:hint="eastAsia" w:ascii="微软雅黑" w:hAnsi="微软雅黑" w:eastAsia="微软雅黑" w:cs="微软雅黑"/>
          <w:b w:val="0"/>
          <w:i w:val="0"/>
          <w:caps w:val="0"/>
          <w:color w:val="256EB1"/>
          <w:spacing w:val="0"/>
          <w:sz w:val="21"/>
          <w:szCs w:val="21"/>
          <w:u w:val="none"/>
          <w:shd w:val="clear" w:fill="FFFFFF"/>
        </w:rPr>
        <w:t>中职专业名称与教材编号对应表</w:t>
      </w:r>
      <w:bookmarkEnd w:id="1"/>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9.中学教师资格考试（心理健康教育、日语、俄语）面试大纲</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10.中小学教师资格考试报名在线支付银行列表</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right="0" w:firstLine="0"/>
        <w:jc w:val="righ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重庆市教育考试院</w:t>
      </w:r>
    </w:p>
    <w:p>
      <w:pPr>
        <w:pStyle w:val="3"/>
        <w:keepNext w:val="0"/>
        <w:keepLines w:val="0"/>
        <w:widowControl/>
        <w:suppressLineNumbers w:val="0"/>
        <w:shd w:val="clear" w:fill="FFFFFF"/>
        <w:spacing w:after="300" w:afterAutospacing="0" w:line="420" w:lineRule="atLeast"/>
        <w:ind w:left="0" w:right="0" w:firstLine="0"/>
        <w:jc w:val="righ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2017年12月4日</w:t>
      </w:r>
    </w:p>
    <w:bookmarkEnd w:id="2"/>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附件1：</w:t>
      </w:r>
    </w:p>
    <w:p>
      <w:pPr>
        <w:pStyle w:val="3"/>
        <w:keepNext w:val="0"/>
        <w:keepLines w:val="0"/>
        <w:widowControl/>
        <w:suppressLineNumbers w:val="0"/>
        <w:shd w:val="clear" w:fill="FFFFFF"/>
        <w:spacing w:after="300" w:afterAutospacing="0" w:line="420" w:lineRule="atLeast"/>
        <w:ind w:left="0" w:righ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重庆市2017年下半年中小学教师资格考试面试报名考区</w:t>
      </w:r>
    </w:p>
    <w:p>
      <w:pPr>
        <w:pStyle w:val="3"/>
        <w:keepNext w:val="0"/>
        <w:keepLines w:val="0"/>
        <w:widowControl/>
        <w:suppressLineNumbers w:val="0"/>
        <w:shd w:val="clear" w:fill="FFFFFF"/>
        <w:spacing w:after="300" w:afterAutospacing="0" w:line="420" w:lineRule="atLeast"/>
        <w:ind w:left="0" w:righ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现场确认点</w:t>
      </w:r>
    </w:p>
    <w:tbl>
      <w:tblPr>
        <w:tblpPr w:vertAnchor="text" w:tblpXSpec="left"/>
        <w:tblW w:w="8638"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
      <w:tblGrid>
        <w:gridCol w:w="572"/>
        <w:gridCol w:w="653"/>
        <w:gridCol w:w="2865"/>
        <w:gridCol w:w="763"/>
        <w:gridCol w:w="1115"/>
        <w:gridCol w:w="26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Style w:val="5"/>
                <w:rFonts w:hint="eastAsia" w:ascii="微软雅黑" w:hAnsi="微软雅黑" w:eastAsia="微软雅黑" w:cs="微软雅黑"/>
                <w:i w:val="0"/>
                <w:caps w:val="0"/>
                <w:color w:val="333333"/>
                <w:spacing w:val="0"/>
                <w:kern w:val="0"/>
                <w:sz w:val="21"/>
                <w:szCs w:val="21"/>
                <w:bdr w:val="none" w:color="auto" w:sz="0" w:space="0"/>
                <w:lang w:val="en-US" w:eastAsia="zh-CN" w:bidi="ar"/>
              </w:rPr>
              <w:t>序号</w:t>
            </w:r>
          </w:p>
        </w:tc>
        <w:tc>
          <w:tcPr>
            <w:tcW w:w="65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Style w:val="5"/>
                <w:rFonts w:hint="eastAsia" w:ascii="微软雅黑" w:hAnsi="微软雅黑" w:eastAsia="微软雅黑" w:cs="微软雅黑"/>
                <w:i w:val="0"/>
                <w:caps w:val="0"/>
                <w:color w:val="333333"/>
                <w:spacing w:val="0"/>
                <w:kern w:val="0"/>
                <w:sz w:val="21"/>
                <w:szCs w:val="21"/>
                <w:bdr w:val="none" w:color="auto" w:sz="0" w:space="0"/>
                <w:lang w:val="en-US" w:eastAsia="zh-CN" w:bidi="ar"/>
              </w:rPr>
              <w:t>考区名称</w:t>
            </w:r>
          </w:p>
        </w:tc>
        <w:tc>
          <w:tcPr>
            <w:tcW w:w="286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Style w:val="5"/>
                <w:rFonts w:hint="eastAsia" w:ascii="微软雅黑" w:hAnsi="微软雅黑" w:eastAsia="微软雅黑" w:cs="微软雅黑"/>
                <w:i w:val="0"/>
                <w:caps w:val="0"/>
                <w:color w:val="333333"/>
                <w:spacing w:val="0"/>
                <w:kern w:val="0"/>
                <w:sz w:val="21"/>
                <w:szCs w:val="21"/>
                <w:bdr w:val="none" w:color="auto" w:sz="0" w:space="0"/>
                <w:lang w:val="en-US" w:eastAsia="zh-CN" w:bidi="ar"/>
              </w:rPr>
              <w:t>地址</w:t>
            </w:r>
          </w:p>
        </w:tc>
        <w:tc>
          <w:tcPr>
            <w:tcW w:w="76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Style w:val="5"/>
                <w:rFonts w:hint="eastAsia" w:ascii="微软雅黑" w:hAnsi="微软雅黑" w:eastAsia="微软雅黑" w:cs="微软雅黑"/>
                <w:i w:val="0"/>
                <w:caps w:val="0"/>
                <w:color w:val="333333"/>
                <w:spacing w:val="0"/>
                <w:kern w:val="0"/>
                <w:sz w:val="21"/>
                <w:szCs w:val="21"/>
                <w:bdr w:val="none" w:color="auto" w:sz="0" w:space="0"/>
                <w:lang w:val="en-US" w:eastAsia="zh-CN" w:bidi="ar"/>
              </w:rPr>
              <w:t>咨询电话</w:t>
            </w:r>
          </w:p>
        </w:tc>
        <w:tc>
          <w:tcPr>
            <w:tcW w:w="111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Style w:val="5"/>
                <w:rFonts w:hint="eastAsia" w:ascii="微软雅黑" w:hAnsi="微软雅黑" w:eastAsia="微软雅黑" w:cs="微软雅黑"/>
                <w:i w:val="0"/>
                <w:caps w:val="0"/>
                <w:color w:val="333333"/>
                <w:spacing w:val="0"/>
                <w:kern w:val="0"/>
                <w:sz w:val="21"/>
                <w:szCs w:val="21"/>
                <w:bdr w:val="none" w:color="auto" w:sz="0" w:space="0"/>
                <w:lang w:val="en-US" w:eastAsia="zh-CN" w:bidi="ar"/>
              </w:rPr>
              <w:t>现场审核时间</w:t>
            </w:r>
            <w:r>
              <w:rPr>
                <w:rFonts w:hint="eastAsia" w:ascii="微软雅黑" w:hAnsi="微软雅黑" w:eastAsia="微软雅黑" w:cs="微软雅黑"/>
                <w:i w:val="0"/>
                <w:caps w:val="0"/>
                <w:color w:val="333333"/>
                <w:spacing w:val="0"/>
                <w:kern w:val="0"/>
                <w:sz w:val="21"/>
                <w:szCs w:val="21"/>
                <w:bdr w:val="none" w:color="auto" w:sz="0" w:space="0"/>
                <w:lang w:val="en-US" w:eastAsia="zh-CN" w:bidi="ar"/>
              </w:rPr>
              <w:t> </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Style w:val="5"/>
                <w:rFonts w:hint="eastAsia" w:ascii="微软雅黑" w:hAnsi="微软雅黑" w:eastAsia="微软雅黑" w:cs="微软雅黑"/>
                <w:i w:val="0"/>
                <w:caps w:val="0"/>
                <w:color w:val="333333"/>
                <w:spacing w:val="0"/>
                <w:kern w:val="0"/>
                <w:sz w:val="21"/>
                <w:szCs w:val="21"/>
                <w:bdr w:val="none" w:color="auto" w:sz="0" w:space="0"/>
                <w:lang w:val="en-US" w:eastAsia="zh-CN" w:bidi="ar"/>
              </w:rPr>
              <w:t>12月12-21日</w:t>
            </w:r>
            <w:r>
              <w:rPr>
                <w:rFonts w:hint="eastAsia" w:ascii="微软雅黑" w:hAnsi="微软雅黑" w:eastAsia="微软雅黑" w:cs="微软雅黑"/>
                <w:i w:val="0"/>
                <w:caps w:val="0"/>
                <w:color w:val="333333"/>
                <w:spacing w:val="0"/>
                <w:kern w:val="0"/>
                <w:sz w:val="21"/>
                <w:szCs w:val="21"/>
                <w:bdr w:val="none" w:color="auto" w:sz="0" w:space="0"/>
                <w:lang w:val="en-US" w:eastAsia="zh-CN" w:bidi="ar"/>
              </w:rPr>
              <w:t> </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Style w:val="5"/>
                <w:rFonts w:hint="eastAsia" w:ascii="微软雅黑" w:hAnsi="微软雅黑" w:eastAsia="微软雅黑" w:cs="微软雅黑"/>
                <w:i w:val="0"/>
                <w:caps w:val="0"/>
                <w:color w:val="333333"/>
                <w:spacing w:val="0"/>
                <w:kern w:val="0"/>
                <w:sz w:val="21"/>
                <w:szCs w:val="21"/>
                <w:bdr w:val="none" w:color="auto" w:sz="0" w:space="0"/>
                <w:lang w:val="en-US" w:eastAsia="zh-CN" w:bidi="ar"/>
              </w:rPr>
              <w:t>（周末除外）</w:t>
            </w:r>
          </w:p>
        </w:tc>
        <w:tc>
          <w:tcPr>
            <w:tcW w:w="267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Style w:val="5"/>
                <w:rFonts w:hint="eastAsia" w:ascii="微软雅黑" w:hAnsi="微软雅黑" w:eastAsia="微软雅黑" w:cs="微软雅黑"/>
                <w:i w:val="0"/>
                <w:caps w:val="0"/>
                <w:color w:val="333333"/>
                <w:spacing w:val="0"/>
                <w:kern w:val="0"/>
                <w:sz w:val="21"/>
                <w:szCs w:val="21"/>
                <w:bdr w:val="none" w:color="auto" w:sz="0" w:space="0"/>
                <w:lang w:val="en-US" w:eastAsia="zh-CN" w:bidi="ar"/>
              </w:rPr>
              <w:t>可报类别</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w:t>
            </w:r>
          </w:p>
        </w:tc>
        <w:tc>
          <w:tcPr>
            <w:tcW w:w="65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九龙</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坡区</w:t>
            </w:r>
          </w:p>
        </w:tc>
        <w:tc>
          <w:tcPr>
            <w:tcW w:w="286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九龙坡区杨家坪兴胜路2一1一9九龙坡区招办</w:t>
            </w:r>
          </w:p>
        </w:tc>
        <w:tc>
          <w:tcPr>
            <w:tcW w:w="76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023-68653621</w:t>
            </w:r>
          </w:p>
        </w:tc>
        <w:tc>
          <w:tcPr>
            <w:tcW w:w="111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上午：9：30--12:00</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下午：14：00--17:00</w:t>
            </w:r>
          </w:p>
        </w:tc>
        <w:tc>
          <w:tcPr>
            <w:tcW w:w="267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幼儿园、小学</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初中、高中</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w:t>
            </w:r>
          </w:p>
        </w:tc>
        <w:tc>
          <w:tcPr>
            <w:tcW w:w="65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南岸区</w:t>
            </w:r>
          </w:p>
        </w:tc>
        <w:tc>
          <w:tcPr>
            <w:tcW w:w="286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南岸区茶园广福大道22号南岸区教委二楼 区教育考试中心</w:t>
            </w:r>
          </w:p>
        </w:tc>
        <w:tc>
          <w:tcPr>
            <w:tcW w:w="76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023-62926938</w:t>
            </w:r>
          </w:p>
        </w:tc>
        <w:tc>
          <w:tcPr>
            <w:tcW w:w="111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上午：9：00--11：30</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下午：14：00--17：00</w:t>
            </w:r>
          </w:p>
        </w:tc>
        <w:tc>
          <w:tcPr>
            <w:tcW w:w="267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幼儿园、小学</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初中、高中</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w:t>
            </w:r>
          </w:p>
        </w:tc>
        <w:tc>
          <w:tcPr>
            <w:tcW w:w="65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北碚区</w:t>
            </w:r>
          </w:p>
        </w:tc>
        <w:tc>
          <w:tcPr>
            <w:tcW w:w="286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北碚区光荣村199号（北碚区胜利路竟发购物中心旁上行50米）区教育考试中心</w:t>
            </w:r>
          </w:p>
        </w:tc>
        <w:tc>
          <w:tcPr>
            <w:tcW w:w="76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023-68863487</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023-68296161</w:t>
            </w:r>
          </w:p>
        </w:tc>
        <w:tc>
          <w:tcPr>
            <w:tcW w:w="111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上午：9：00--11:30</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下午：14：00--17：30</w:t>
            </w:r>
          </w:p>
        </w:tc>
        <w:tc>
          <w:tcPr>
            <w:tcW w:w="267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幼儿园、小学</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初中、高中</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w:t>
            </w:r>
          </w:p>
        </w:tc>
        <w:tc>
          <w:tcPr>
            <w:tcW w:w="65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渝北区</w:t>
            </w:r>
          </w:p>
        </w:tc>
        <w:tc>
          <w:tcPr>
            <w:tcW w:w="286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重庆市渝北区龙发街29号（碧津公园正大门公交车站正对面支街上行50米）区教育考试中心</w:t>
            </w:r>
          </w:p>
        </w:tc>
        <w:tc>
          <w:tcPr>
            <w:tcW w:w="76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023-67814123</w:t>
            </w:r>
          </w:p>
        </w:tc>
        <w:tc>
          <w:tcPr>
            <w:tcW w:w="111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上午：9:00--11:30</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下午：14:00--17:30</w:t>
            </w:r>
          </w:p>
        </w:tc>
        <w:tc>
          <w:tcPr>
            <w:tcW w:w="267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幼儿园、小学</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初中、高中</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5</w:t>
            </w:r>
          </w:p>
        </w:tc>
        <w:tc>
          <w:tcPr>
            <w:tcW w:w="65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合川区</w:t>
            </w:r>
          </w:p>
        </w:tc>
        <w:tc>
          <w:tcPr>
            <w:tcW w:w="286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合川区南津街南园东路99号城投大厦（区教育考试中心）</w:t>
            </w:r>
          </w:p>
        </w:tc>
        <w:tc>
          <w:tcPr>
            <w:tcW w:w="76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023-42847593</w:t>
            </w:r>
          </w:p>
        </w:tc>
        <w:tc>
          <w:tcPr>
            <w:tcW w:w="111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上午：9：00--11:30</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下午：14:30--17:30</w:t>
            </w:r>
          </w:p>
        </w:tc>
        <w:tc>
          <w:tcPr>
            <w:tcW w:w="267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幼儿园、小学</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初中、高中</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6</w:t>
            </w:r>
          </w:p>
        </w:tc>
        <w:tc>
          <w:tcPr>
            <w:tcW w:w="65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永川区</w:t>
            </w:r>
          </w:p>
        </w:tc>
        <w:tc>
          <w:tcPr>
            <w:tcW w:w="286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永川区枣园路26号</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区招办</w:t>
            </w:r>
          </w:p>
        </w:tc>
        <w:tc>
          <w:tcPr>
            <w:tcW w:w="76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023-49851362</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023-49864071</w:t>
            </w:r>
          </w:p>
        </w:tc>
        <w:tc>
          <w:tcPr>
            <w:tcW w:w="111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上午：9:00—11:30</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下午：14:00—17:00</w:t>
            </w:r>
          </w:p>
        </w:tc>
        <w:tc>
          <w:tcPr>
            <w:tcW w:w="267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幼儿园、小学</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初中、高中</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7</w:t>
            </w:r>
          </w:p>
        </w:tc>
        <w:tc>
          <w:tcPr>
            <w:tcW w:w="65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涪陵区</w:t>
            </w:r>
          </w:p>
        </w:tc>
        <w:tc>
          <w:tcPr>
            <w:tcW w:w="286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重庆市涪陵区乌宝路三号教委小区</w:t>
            </w:r>
          </w:p>
        </w:tc>
        <w:tc>
          <w:tcPr>
            <w:tcW w:w="76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023-72226059</w:t>
            </w:r>
          </w:p>
        </w:tc>
        <w:tc>
          <w:tcPr>
            <w:tcW w:w="111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上午：8:30--11:30</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下午：14:30--17:30</w:t>
            </w:r>
          </w:p>
        </w:tc>
        <w:tc>
          <w:tcPr>
            <w:tcW w:w="267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幼儿园、小学</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初中、高中</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8</w:t>
            </w:r>
          </w:p>
        </w:tc>
        <w:tc>
          <w:tcPr>
            <w:tcW w:w="65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万州区</w:t>
            </w:r>
          </w:p>
        </w:tc>
        <w:tc>
          <w:tcPr>
            <w:tcW w:w="286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重庆市万州区白岩路256号教委大厦三楼招生办</w:t>
            </w:r>
          </w:p>
        </w:tc>
        <w:tc>
          <w:tcPr>
            <w:tcW w:w="76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023-58222120</w:t>
            </w:r>
          </w:p>
        </w:tc>
        <w:tc>
          <w:tcPr>
            <w:tcW w:w="111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上午：9：00--11:30</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下午：14：00--17:00</w:t>
            </w:r>
          </w:p>
        </w:tc>
        <w:tc>
          <w:tcPr>
            <w:tcW w:w="267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幼儿园、小学</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初中、高中</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9</w:t>
            </w:r>
          </w:p>
        </w:tc>
        <w:tc>
          <w:tcPr>
            <w:tcW w:w="65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壁山区</w:t>
            </w:r>
          </w:p>
        </w:tc>
        <w:tc>
          <w:tcPr>
            <w:tcW w:w="286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重庆市璧山区璧城街道双星大道369号（新人民广场政府大楼2号楼319室）</w:t>
            </w:r>
          </w:p>
        </w:tc>
        <w:tc>
          <w:tcPr>
            <w:tcW w:w="76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023-41423408</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023-41698447</w:t>
            </w:r>
          </w:p>
        </w:tc>
        <w:tc>
          <w:tcPr>
            <w:tcW w:w="111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上午：9：00--11:30</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下午：14：00--17:00</w:t>
            </w:r>
          </w:p>
        </w:tc>
        <w:tc>
          <w:tcPr>
            <w:tcW w:w="267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幼儿园、小学</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初中、高中</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10</w:t>
            </w:r>
          </w:p>
        </w:tc>
        <w:tc>
          <w:tcPr>
            <w:tcW w:w="65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沙坪坝区</w:t>
            </w:r>
          </w:p>
        </w:tc>
        <w:tc>
          <w:tcPr>
            <w:tcW w:w="286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重庆市沙坪坝区天星桥正街20号区教育考试院</w:t>
            </w:r>
          </w:p>
        </w:tc>
        <w:tc>
          <w:tcPr>
            <w:tcW w:w="76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023－86056003</w:t>
            </w:r>
          </w:p>
        </w:tc>
        <w:tc>
          <w:tcPr>
            <w:tcW w:w="111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上午：9：30--12:00</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下午：14：00--17:00</w:t>
            </w:r>
          </w:p>
        </w:tc>
        <w:tc>
          <w:tcPr>
            <w:tcW w:w="267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幼儿园、小学</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初中、高中</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11</w:t>
            </w:r>
          </w:p>
        </w:tc>
        <w:tc>
          <w:tcPr>
            <w:tcW w:w="65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江北区</w:t>
            </w:r>
          </w:p>
        </w:tc>
        <w:tc>
          <w:tcPr>
            <w:tcW w:w="286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重庆市江北区万兴一路8号区教师进修学院负一楼</w:t>
            </w:r>
          </w:p>
        </w:tc>
        <w:tc>
          <w:tcPr>
            <w:tcW w:w="76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023-67872274</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023-67854287</w:t>
            </w:r>
          </w:p>
        </w:tc>
        <w:tc>
          <w:tcPr>
            <w:tcW w:w="111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上午：9：00--11:30</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下午：14：00--17:00</w:t>
            </w:r>
          </w:p>
        </w:tc>
        <w:tc>
          <w:tcPr>
            <w:tcW w:w="267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幼儿园、小学</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初中、高中</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12</w:t>
            </w:r>
          </w:p>
        </w:tc>
        <w:tc>
          <w:tcPr>
            <w:tcW w:w="65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江津区</w:t>
            </w:r>
          </w:p>
        </w:tc>
        <w:tc>
          <w:tcPr>
            <w:tcW w:w="286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重庆市江津区几江街道大同路336号江津区招办</w:t>
            </w:r>
          </w:p>
        </w:tc>
        <w:tc>
          <w:tcPr>
            <w:tcW w:w="76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023-47530127</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023-47559792</w:t>
            </w:r>
          </w:p>
        </w:tc>
        <w:tc>
          <w:tcPr>
            <w:tcW w:w="111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上午：9：30--12:00</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下午：14：00--17:00</w:t>
            </w:r>
          </w:p>
        </w:tc>
        <w:tc>
          <w:tcPr>
            <w:tcW w:w="267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幼儿园、小学</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初中、高中</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13</w:t>
            </w:r>
          </w:p>
        </w:tc>
        <w:tc>
          <w:tcPr>
            <w:tcW w:w="65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重庆科技学院</w:t>
            </w:r>
          </w:p>
        </w:tc>
        <w:tc>
          <w:tcPr>
            <w:tcW w:w="286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重庆市沙坪坝区虎溪大学城重庆科技学院厚德楼H114</w:t>
            </w:r>
          </w:p>
        </w:tc>
        <w:tc>
          <w:tcPr>
            <w:tcW w:w="763"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023-65022070</w:t>
            </w:r>
          </w:p>
        </w:tc>
        <w:tc>
          <w:tcPr>
            <w:tcW w:w="111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上午：8:30--11:30</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下午：14:00--16:30</w:t>
            </w:r>
          </w:p>
        </w:tc>
        <w:tc>
          <w:tcPr>
            <w:tcW w:w="2670"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中职专业课；中职实习指导；初中、高中、中职文化课（日语、俄语、心理健康教育）</w:t>
            </w:r>
          </w:p>
        </w:tc>
      </w:tr>
    </w:tbl>
    <w:p>
      <w:pPr>
        <w:pStyle w:val="3"/>
        <w:keepNext w:val="0"/>
        <w:keepLines w:val="0"/>
        <w:widowControl/>
        <w:suppressLineNumbers w:val="0"/>
        <w:shd w:val="clear" w:fill="FFFFFF"/>
        <w:spacing w:after="300" w:afterAutospacing="0" w:line="420" w:lineRule="atLeast"/>
        <w:ind w:left="0" w:righ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附件2：</w:t>
      </w:r>
    </w:p>
    <w:p>
      <w:pPr>
        <w:pStyle w:val="3"/>
        <w:keepNext w:val="0"/>
        <w:keepLines w:val="0"/>
        <w:widowControl/>
        <w:suppressLineNumbers w:val="0"/>
        <w:shd w:val="clear" w:fill="FFFFFF"/>
        <w:spacing w:after="300" w:afterAutospacing="0" w:line="420" w:lineRule="atLeast"/>
        <w:ind w:left="0" w:righ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Fonts w:hint="eastAsia" w:ascii="微软雅黑" w:hAnsi="微软雅黑" w:eastAsia="微软雅黑" w:cs="微软雅黑"/>
          <w:b w:val="0"/>
          <w:i w:val="0"/>
          <w:caps w:val="0"/>
          <w:color w:val="333333"/>
          <w:spacing w:val="0"/>
          <w:sz w:val="21"/>
          <w:szCs w:val="21"/>
          <w:bdr w:val="none" w:color="auto" w:sz="0" w:space="0"/>
          <w:shd w:val="clear" w:fill="FFFFFF"/>
        </w:rPr>
        <w:drawing>
          <wp:inline distT="0" distB="0" distL="114300" distR="114300">
            <wp:extent cx="6791325" cy="4914900"/>
            <wp:effectExtent l="0" t="0" r="9525" b="0"/>
            <wp:docPr id="8"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56"/>
                    <pic:cNvPicPr>
                      <a:picLocks noChangeAspect="1"/>
                    </pic:cNvPicPr>
                  </pic:nvPicPr>
                  <pic:blipFill>
                    <a:blip r:embed="rId4"/>
                    <a:stretch>
                      <a:fillRect/>
                    </a:stretch>
                  </pic:blipFill>
                  <pic:spPr>
                    <a:xfrm>
                      <a:off x="0" y="0"/>
                      <a:ext cx="6791325" cy="4914900"/>
                    </a:xfrm>
                    <a:prstGeom prst="rect">
                      <a:avLst/>
                    </a:prstGeom>
                    <a:noFill/>
                    <a:ln w="9525">
                      <a:noFill/>
                    </a:ln>
                  </pic:spPr>
                </pic:pic>
              </a:graphicData>
            </a:graphic>
          </wp:inline>
        </w:drawing>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注：档案托管仅限有档案保管权限的机构，如各大中专院校、各区县人才交流服务中心、国有大型企业等机构。</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附件3：</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Fonts w:hint="eastAsia" w:ascii="微软雅黑" w:hAnsi="微软雅黑" w:eastAsia="微软雅黑" w:cs="微软雅黑"/>
          <w:b w:val="0"/>
          <w:i w:val="0"/>
          <w:caps w:val="0"/>
          <w:color w:val="333333"/>
          <w:spacing w:val="0"/>
          <w:sz w:val="21"/>
          <w:szCs w:val="21"/>
          <w:bdr w:val="none" w:color="auto" w:sz="0" w:space="0"/>
          <w:shd w:val="clear" w:fill="FFFFFF"/>
        </w:rPr>
        <w:drawing>
          <wp:inline distT="0" distB="0" distL="114300" distR="114300">
            <wp:extent cx="6696075" cy="4619625"/>
            <wp:effectExtent l="0" t="0" r="9525" b="9525"/>
            <wp:docPr id="9" name="图片 9"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57"/>
                    <pic:cNvPicPr>
                      <a:picLocks noChangeAspect="1"/>
                    </pic:cNvPicPr>
                  </pic:nvPicPr>
                  <pic:blipFill>
                    <a:blip r:embed="rId5"/>
                    <a:stretch>
                      <a:fillRect/>
                    </a:stretch>
                  </pic:blipFill>
                  <pic:spPr>
                    <a:xfrm>
                      <a:off x="0" y="0"/>
                      <a:ext cx="6696075" cy="4619625"/>
                    </a:xfrm>
                    <a:prstGeom prst="rect">
                      <a:avLst/>
                    </a:prstGeom>
                    <a:noFill/>
                    <a:ln w="9525">
                      <a:noFill/>
                    </a:ln>
                  </pic:spPr>
                </pic:pic>
              </a:graphicData>
            </a:graphic>
          </wp:inline>
        </w:drawing>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注：学籍部门只能为学校教务处或研究生院。</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附件4:</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中小学教师资格考试网上报名及缴费流程图</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Fonts w:hint="eastAsia" w:ascii="微软雅黑" w:hAnsi="微软雅黑" w:eastAsia="微软雅黑" w:cs="微软雅黑"/>
          <w:b w:val="0"/>
          <w:i w:val="0"/>
          <w:caps w:val="0"/>
          <w:color w:val="333333"/>
          <w:spacing w:val="0"/>
          <w:sz w:val="21"/>
          <w:szCs w:val="21"/>
          <w:bdr w:val="none" w:color="auto" w:sz="0" w:space="0"/>
          <w:shd w:val="clear" w:fill="FFFFFF"/>
        </w:rPr>
        <w:drawing>
          <wp:inline distT="0" distB="0" distL="114300" distR="114300">
            <wp:extent cx="3790950" cy="6648450"/>
            <wp:effectExtent l="0" t="0" r="0" b="0"/>
            <wp:docPr id="13" name="图片 10"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descr="IMG_258"/>
                    <pic:cNvPicPr>
                      <a:picLocks noChangeAspect="1"/>
                    </pic:cNvPicPr>
                  </pic:nvPicPr>
                  <pic:blipFill>
                    <a:blip r:embed="rId6"/>
                    <a:stretch>
                      <a:fillRect/>
                    </a:stretch>
                  </pic:blipFill>
                  <pic:spPr>
                    <a:xfrm>
                      <a:off x="0" y="0"/>
                      <a:ext cx="3790950" cy="6648450"/>
                    </a:xfrm>
                    <a:prstGeom prst="rect">
                      <a:avLst/>
                    </a:prstGeom>
                    <a:noFill/>
                    <a:ln w="9525">
                      <a:noFill/>
                    </a:ln>
                  </pic:spPr>
                </pic:pic>
              </a:graphicData>
            </a:graphic>
          </wp:inline>
        </w:drawing>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附件5：</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中小学教师资格考试（面试）科目代码列表</w:t>
      </w:r>
    </w:p>
    <w:tbl>
      <w:tblPr>
        <w:tblW w:w="9359"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
      <w:tblGrid>
        <w:gridCol w:w="894"/>
        <w:gridCol w:w="3057"/>
        <w:gridCol w:w="766"/>
        <w:gridCol w:w="464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序号</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科目名称</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科目</w:t>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br w:type="textWrapping"/>
            </w: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代码</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（一）</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幼儿园</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幼儿园</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141</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（二）</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小学语文</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241</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小学英语</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242</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3.</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小学社会</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243</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4.</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小学数学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244</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5.</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小学科学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245</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6.</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小学音乐</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246</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7.</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小学体育</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247</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8.</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小学美术</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248</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9.</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小学信息技术</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249</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2017年下半年新增</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10.</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小学心理健康教育</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250</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2017年下半年新增</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（三）</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初中</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语文（初级中学）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343</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数学（初级中学）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344</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3.</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英语（初级中学）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345</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4.</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日语（初级中学）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345A</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2017年下半年新增（仅限重庆科技学院）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5.</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俄语（初级中学）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345B</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2017年下半年新增（仅限重庆科技学院）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6.</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物理（初级中学）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346</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7.</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化学（初级中学）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347</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8.</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生物（初级中学）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348</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9.</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思想品德（初级中学）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349</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10.</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历史（初级中学）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350</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11.</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地理（初级中学）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351</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12.</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音乐（初级中学）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352</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13.</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体育与健康（初级中学）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353</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14.</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美术（初级中学）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354</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15.</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信息技术（初级中学）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355</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16.</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历史与社会（初级中学）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356</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17.</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科学（初级中学）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357</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18.</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心理健康教育（初级中学）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359</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2017年下半年新增（仅限重庆科技学院）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（四）</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高中</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语文（高级中学）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443</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2.</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数学（高级中学）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444</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3.</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英语（高级中学）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445</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4.</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日语（高级中学）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445A</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2017年下半年新增（仅限重庆科技学院）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5.</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俄语（高级中学）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445B</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2017年下半年新增（仅限重庆科技学院）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6.</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物理（高级中学）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446</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7.</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化学（高级中学）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447</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8.</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生物（高级中学）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448</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9.</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思想政治（高级中学）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449</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10.</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历史（高级中学）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450</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11.</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地理（高级中学）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451</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12.</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音乐（高级中学）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452</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13.</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体育与健康（高级中学）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453</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14.</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美术（高级中学）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454</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15.</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信息技术（高级中学）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455</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75"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16.</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通用技术（高级中学）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458</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89" w:hRule="atLeast"/>
        </w:trPr>
        <w:tc>
          <w:tcPr>
            <w:tcW w:w="8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eastAsia" w:ascii="微软雅黑" w:hAnsi="微软雅黑" w:eastAsia="微软雅黑" w:cs="微软雅黑"/>
                <w:b w:val="0"/>
                <w:i w:val="0"/>
                <w:caps w:val="0"/>
                <w:color w:val="333333"/>
                <w:spacing w:val="0"/>
                <w:sz w:val="21"/>
                <w:szCs w:val="21"/>
                <w:bdr w:val="none" w:color="auto" w:sz="0" w:space="0"/>
              </w:rPr>
              <w:t>17.</w:t>
            </w:r>
          </w:p>
        </w:tc>
        <w:tc>
          <w:tcPr>
            <w:tcW w:w="305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心理健康教育（高级中学）</w:t>
            </w:r>
          </w:p>
        </w:tc>
        <w:tc>
          <w:tcPr>
            <w:tcW w:w="76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459</w:t>
            </w:r>
          </w:p>
        </w:tc>
        <w:tc>
          <w:tcPr>
            <w:tcW w:w="464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2017年下半年新增（仅限重庆科技学院）</w:t>
            </w:r>
          </w:p>
        </w:tc>
      </w:tr>
    </w:tbl>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附件6：</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中职专业课及中职实习指导教师资格考试面试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 试 大 纲（试行）</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一、测试性质</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面试是中等职业学校专业课、实习指导教师资格考试的有机组成部分，属于标准参照性考试。笔试科目一、二均合格者，方可报名参加面试。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二、测试目标</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面试主要考察申请中职教师资格人员应具备的教师基本素养、职业发展潜质、教育教学实践能力等，主要包括：</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1．良好的职业认知、心理素质和思维品质；</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2．仪表仪态得体，有一定的表达、交流、沟通能力；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3．具备所教专业必需的基础知识、基本技能；</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4．能够恰当地运用教学方法、手段，教学环节规范，较好地达成教学目标。</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三、测试内容与要求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（一）职业认知</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1．热爱教育事业，有较强的从教愿望，正确认识、理解教师的职业特征，遵守教师职业道德规范，能够正确认识、分析和评价教育教学实践中的师德问题。</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2．关爱学生、尊重学生，公正平等地对待每一位学生，关注每一位学生的成长。</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（二）心理素质</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1．积极、开朗，有自信心</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具有积极向上的精神，主动热情工作</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具有坚定顽强的精神，不怕困难</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2．有较强的情绪调节与自控能力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能够有条不紊地工作，不急不躁</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能够冷静地处理问题，有应变能力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能公正地看待问题，不偏激，不固执</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（三）仪表仪态</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1．仪表整洁，符合教育职业和场景要求。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2．举止大方，符合教师礼仪要求。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3．肢体语言得体，符合教学内容要求。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（四）言语表达</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1．语言清晰，语速适宜，表达准确</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口齿清楚，讲话流利，发音标准，声音洪亮，语速适宜。</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讲话中心明确，层次分明，表达完整，有感染力。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2．善于倾听、交流，有亲和力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具有较强的口头表达能力，善于倾听别人的意见，并能够较准确地表达自己的观点。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在交流中尊重对方、态度和蔼。</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（五）思维品质</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1．能够迅速、准确地理解和分析问题，有较强的综合分析能力。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2．能够清晰有条理地陈述问题，有较强的逻辑性。</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3．能够比较全面地看待问题，思维灵活，有较好的应变能力。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4．能够提出具有创新性的解决问题的思路和方法。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（六）教学设计</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1．了解课程的目标和要求，准确把握教学内容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准确把握所教的教学内容、理解本课（本单元）在教材中的地位以及与其他单元的关系。</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2．根据教学内容和课程标准的要求确定教学目标、教学重点和难点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3．教学设计要体现学生的主体性，因材施教，选择合适的教学形式与方法。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（七）教学实施</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1．能够有效地组织学生的学习活动，注重激发学生的学习兴趣，有与学生交流的意识。</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2．能够科学准确地表达和呈现教学内容。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3．能够适当地运用板书，板书工整、美观、适量。</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4．能够较好地控制教学时间和教学节奏，合理地安排教与学的时间，较好地达成教学目标。</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（八）教学评价</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1．在教学实施过程中注重对学生进行评价</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2．能客观评价自己的教学效果</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(九)专业知识与能力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 了解行业特点及人才需求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 掌握所教专业的知识体系与基本规律</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 能应用专业知识解决实际问题</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四、测试方法、程序</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（一）基本方法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采取结构化面试和情景模拟相结合的方法，通过抽题备课、专业概述、试讲、答辩等方式进行。</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（二）程序</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考生根据自己所报考的专业，按照重庆市教育考试院公布的《中职专业课及中职实习指导教师资格考试面试教材目录》中指定的教材准备试讲。届时，考点会为考生准备相应的教材以备考生需要时查阅。</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1．考生按《准考证》规定的时间，提前30分钟到达考点。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2．根据考生报考的专业，由工作人员组织考生抽取试讲题单，确定试讲内容。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3．工作人员引导考生至备考室进行试讲备课（20分钟），不制作PPT，试讲时要有板书。</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4．备课时间结束后，考生按工作人员指示，到相应考场进行面试：（时间20分钟）</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（1）考生回答考官随机抽取的2个规定问题。（5分钟）</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（2）考生进行讲课，要求有板书。（10分钟）</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（3）考官围绕考生试讲内容、专业知识进行提问，考生回答。（5分钟）</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5．考试结束，考生有序离场。</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附件7：</w:t>
      </w:r>
    </w:p>
    <w:p>
      <w:pPr>
        <w:pStyle w:val="3"/>
        <w:keepNext w:val="0"/>
        <w:keepLines w:val="0"/>
        <w:widowControl/>
        <w:suppressLineNumbers w:val="0"/>
        <w:shd w:val="clear" w:fill="FFFFFF"/>
        <w:spacing w:after="300" w:afterAutospacing="0"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中职专业课及中职实习指导教师资格面试教材</w:t>
      </w:r>
    </w:p>
    <w:tbl>
      <w:tblPr>
        <w:tblpPr w:vertAnchor="text" w:tblpXSpec="left"/>
        <w:tblW w:w="908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
      <w:tblGrid>
        <w:gridCol w:w="732"/>
        <w:gridCol w:w="1026"/>
        <w:gridCol w:w="732"/>
        <w:gridCol w:w="2048"/>
        <w:gridCol w:w="1318"/>
        <w:gridCol w:w="1905"/>
        <w:gridCol w:w="131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1378" w:hRule="atLeast"/>
        </w:trPr>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科类代码</w:t>
            </w:r>
          </w:p>
        </w:tc>
        <w:tc>
          <w:tcPr>
            <w:tcW w:w="10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科类</w:t>
            </w: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教材编号</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教材名称</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编者</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版本</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01</w:t>
            </w:r>
          </w:p>
        </w:tc>
        <w:tc>
          <w:tcPr>
            <w:tcW w:w="102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农林牧渔类</w:t>
            </w: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01</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《普通动物学》</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张训蒲</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中国农业出版社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2015年6月第二版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102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02</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《植物生理学》</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王忠</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中国农业出版社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2009年12月第二版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102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03</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《农业经济学》</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钟甫宁</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中国农业出版社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2011年2月第五版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102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04</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《农产品加工原理及设备》</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周江，王昕，任丽丽</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化学工业出版社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2015年9月第一版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102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05</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《电工与电气设备（农业水利技术专业）》</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陶有抗</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水利水电出版社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2003年1月第一版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770" w:hRule="atLeast"/>
        </w:trPr>
        <w:tc>
          <w:tcPr>
            <w:tcW w:w="73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02</w:t>
            </w:r>
          </w:p>
        </w:tc>
        <w:tc>
          <w:tcPr>
            <w:tcW w:w="102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资源环境类</w:t>
            </w: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01</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《采矿学》</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陈国山，李毅</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冶金工业出版社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2013年3月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102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02</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《环境保护与可持续发展（高等学校环境类教材）》</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曲向荣</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清华大学出版社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2010年12月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770" w:hRule="atLeast"/>
        </w:trPr>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102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03</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《地质灾害调查与评价》</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李东林，宋彬</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中国地质大学出版社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20l3年12月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03</w:t>
            </w:r>
          </w:p>
        </w:tc>
        <w:tc>
          <w:tcPr>
            <w:tcW w:w="102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能源与新能源类</w:t>
            </w: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01</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《石油地质学》</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柳广弟</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石油工业出版社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2009年3月第4版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102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02</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《热工基础》</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唐莉萍</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中国电力出版社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2013年9月第3版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102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03</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《变配电所二次部分》</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张蓉</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中国电力出版社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2012年1月第2版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04</w:t>
            </w:r>
          </w:p>
        </w:tc>
        <w:tc>
          <w:tcPr>
            <w:tcW w:w="102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土木水利类</w:t>
            </w: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01</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《电工电子技术与技能》</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文春帆</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高等教育出版社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2014年3月第2版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102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02</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《建筑识图与构造》</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吴舒琛</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高等教育出版社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2006年12月第二版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05</w:t>
            </w:r>
          </w:p>
        </w:tc>
        <w:tc>
          <w:tcPr>
            <w:tcW w:w="102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加工制造类</w:t>
            </w: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01</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《电工基础》</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王英、丁金水、徐宏、刘永军</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电子工业出版社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2014年8月第3版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102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02</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《机械基础》</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胡家秀</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机械工业出版社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2013年1月第2版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06</w:t>
            </w:r>
          </w:p>
        </w:tc>
        <w:tc>
          <w:tcPr>
            <w:tcW w:w="102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石油化工类</w:t>
            </w: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01</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《化学工程基础》</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武汉大学</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高等教育出版社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2009年8月第二版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102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02</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《物理化学简明教程》</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印永嘉</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高等教育出版社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2007年8月第四版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770" w:hRule="atLeast"/>
        </w:trPr>
        <w:tc>
          <w:tcPr>
            <w:tcW w:w="73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07</w:t>
            </w:r>
          </w:p>
        </w:tc>
        <w:tc>
          <w:tcPr>
            <w:tcW w:w="102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轻纺食品类</w:t>
            </w: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01</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《制浆造纸工艺》</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王忠厚</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中国轻工业出版社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2014年1月第2版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102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02</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《食品应用化学》</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李晓华</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高等教育出版社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2002年12月第1版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102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03</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《粮油加工技术》</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王丽琼、李鹏林</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化学工业出版社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2007年1月第1版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770" w:hRule="atLeast"/>
        </w:trPr>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08</w:t>
            </w:r>
          </w:p>
        </w:tc>
        <w:tc>
          <w:tcPr>
            <w:tcW w:w="10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交通运输类</w:t>
            </w: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01</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《交通运输概论》</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万明</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人民交通出版社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2015年3月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09</w:t>
            </w:r>
          </w:p>
        </w:tc>
        <w:tc>
          <w:tcPr>
            <w:tcW w:w="10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信息技术类</w:t>
            </w: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01</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《计算机导论》</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杨月江</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清华大学出版社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2014年8月第1版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10</w:t>
            </w:r>
          </w:p>
        </w:tc>
        <w:tc>
          <w:tcPr>
            <w:tcW w:w="10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医药卫生类</w:t>
            </w: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01</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《医学基础》</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孙志军、刘伟</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人卫出版社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2013年8月第2版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11</w:t>
            </w:r>
          </w:p>
        </w:tc>
        <w:tc>
          <w:tcPr>
            <w:tcW w:w="10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休闲保健类</w:t>
            </w: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01</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《美容美体学》</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吴强、赵瑛</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广东高等教育出版社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2014年7月第1版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12</w:t>
            </w:r>
          </w:p>
        </w:tc>
        <w:tc>
          <w:tcPr>
            <w:tcW w:w="102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财经商贸类</w:t>
            </w: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01</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《基础会计》</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张玉森、陈伟清</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高等教育出版社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2011年6月第四版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102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02</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《金融基础》</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陈利荣</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高等教育出版社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2009年7月第二版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102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03</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《市场营销知识》</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冯玉祥</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高等教育出版社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2012年7月第三版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770" w:hRule="atLeast"/>
        </w:trPr>
        <w:tc>
          <w:tcPr>
            <w:tcW w:w="73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13</w:t>
            </w:r>
          </w:p>
        </w:tc>
        <w:tc>
          <w:tcPr>
            <w:tcW w:w="102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旅游服务类</w:t>
            </w: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01</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《钟表技术》</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萧治平</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中国轻工业出版社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2014年8月第1版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102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02</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《中餐烹饪基础》</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陈勇</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重庆大学出版社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2013年8月 第1版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102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03</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《旅游概论》</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邵世刚</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高等教育出版社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2005年8月第一版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14</w:t>
            </w:r>
          </w:p>
        </w:tc>
        <w:tc>
          <w:tcPr>
            <w:tcW w:w="10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文化艺术类</w:t>
            </w: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01</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《艺术学概论》</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彭吉象</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北京大学出版社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2015年5月第4版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770" w:hRule="atLeast"/>
        </w:trPr>
        <w:tc>
          <w:tcPr>
            <w:tcW w:w="73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15</w:t>
            </w:r>
          </w:p>
        </w:tc>
        <w:tc>
          <w:tcPr>
            <w:tcW w:w="102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体育与健身类</w:t>
            </w: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01</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《运动训练学》</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田麦久</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高等教育出版社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2006年1月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770" w:hRule="atLeast"/>
        </w:trPr>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102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02</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《体育设施与管理》</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陈融</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高等教育出版社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2009年7月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16</w:t>
            </w:r>
          </w:p>
        </w:tc>
        <w:tc>
          <w:tcPr>
            <w:tcW w:w="10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教育类</w:t>
            </w: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01</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《学前教育学》</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黄人颂</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人民教育出版社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2015年8月第三版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17</w:t>
            </w:r>
          </w:p>
        </w:tc>
        <w:tc>
          <w:tcPr>
            <w:tcW w:w="10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司法服务类</w:t>
            </w: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01</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《法律基础》</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刘莲花</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高等教育出版社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2015年8月第2版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18</w:t>
            </w:r>
          </w:p>
        </w:tc>
        <w:tc>
          <w:tcPr>
            <w:tcW w:w="102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公共管理 与服务类</w:t>
            </w: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01</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《企业行政管理》</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张秋埜</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北京大学出版社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2013年9月第1版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1378" w:hRule="atLeast"/>
        </w:trPr>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102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02</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《民政工作》</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周良才</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天津大学出版社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2010年1月第1版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784" w:hRule="atLeast"/>
        </w:trPr>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19</w:t>
            </w:r>
          </w:p>
        </w:tc>
        <w:tc>
          <w:tcPr>
            <w:tcW w:w="1026"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文化课类</w:t>
            </w:r>
          </w:p>
        </w:tc>
        <w:tc>
          <w:tcPr>
            <w:tcW w:w="732"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01</w:t>
            </w:r>
          </w:p>
        </w:tc>
        <w:tc>
          <w:tcPr>
            <w:tcW w:w="204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《心理健康教育》</w:t>
            </w:r>
          </w:p>
        </w:tc>
        <w:tc>
          <w:tcPr>
            <w:tcW w:w="1318"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马力</w:t>
            </w:r>
          </w:p>
        </w:tc>
        <w:tc>
          <w:tcPr>
            <w:tcW w:w="1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北京师范大学出版社</w:t>
            </w:r>
          </w:p>
        </w:tc>
        <w:tc>
          <w:tcPr>
            <w:tcW w:w="13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2010年</w:t>
            </w:r>
          </w:p>
        </w:tc>
      </w:tr>
    </w:tbl>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附件8：</w:t>
      </w:r>
    </w:p>
    <w:p>
      <w:pPr>
        <w:pStyle w:val="3"/>
        <w:keepNext w:val="0"/>
        <w:keepLines w:val="0"/>
        <w:widowControl/>
        <w:suppressLineNumbers w:val="0"/>
        <w:shd w:val="clear" w:fill="FFFFFF"/>
        <w:spacing w:after="300" w:afterAutospacing="0" w:line="420" w:lineRule="atLeast"/>
        <w:ind w:left="0" w:righ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中职专业名称与教材编号对应表</w:t>
      </w:r>
    </w:p>
    <w:tbl>
      <w:tblPr>
        <w:tblW w:w="926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
      <w:tblGrid>
        <w:gridCol w:w="1737"/>
        <w:gridCol w:w="5049"/>
        <w:gridCol w:w="247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专业代码</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专业名称</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对应教材编号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农林牧渔类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D0101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设施农业生产技术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D0102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现代农艺技术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D0103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观光农业经营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D0104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循环农业生产与管理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D0105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种子生产与经营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D0106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植物保护</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D0107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果蔬花卉生产技术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D0108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茶叶生产与加工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D0109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蚕桑生产与经营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D0110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中草药种植</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D0111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棉花加工与检验</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D0112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烟草生产与加工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D0113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现代林业技术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D0114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森林资源保护与管理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D0115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园林技术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D0116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园林绿化</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D0117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木材加工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D0118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畜禽生产与疾病防治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D0119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特种动物养殖</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D0120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畜牧兽医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D0121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宠物养护与经营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D0122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淡水养殖</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D0123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海水生态养殖</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D0124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航海捕捞</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D0125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农产品保鲜与加工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D0126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农产品营销与储运</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J0104</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D0127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农业机械使用与维护</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D0128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农村电气技术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D0129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农业与农村用水</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D0130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农村环境监测</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D0131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农村经济综合管理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D0132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农资连锁经营与管理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J0103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资源环境类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D0201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国土资源调查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D0202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地质调查与找矿</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D0203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水文地质与工程地质勘察</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D0204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地球物理勘探</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D0205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钻探工程技术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D0206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掘进工程技术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D0207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岩土工程勘察与施工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D0208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地质灾害调查与治理施工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D0209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地图制图与地理信息系统</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D0210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地质与测量</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D0211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水文与水资源勘测</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D0212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采矿技术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D0213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矿山机械运行与维修</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D0214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矿山机电</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D0215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矿井通风与安全</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D0216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矿井建设</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D0217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煤炭综合利用</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D0218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环境监测技术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D0219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环境管理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D0220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环境治理技术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D0221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生态环境保护</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D0222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气象服务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D0223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雷电防护技术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J0202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能源与新能源类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D0301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石油钻井</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J0301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D0302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石油天然气开采</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J0301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D0303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石油地质录井与测井</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J0301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D0304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石油与天然气贮运</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J0301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D0305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火电厂热力设备运行与检修</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J0302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D0306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火电厂热力设备安装</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J0302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D0307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火电厂热工仪表安装与检修</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J0302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D0308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火电厂集控运行</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J0302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D0309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火电厂水处理及化学监督</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J0302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D0310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水电厂机电设备安装与运行</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J0303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D0311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水泵站机电设备安装与运行</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J0303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D0312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反应堆及核电厂运行</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J0303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D0313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风电场机电设备运行与维护</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J0303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D0314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太阳能与沼气技术利用</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J0303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D0315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发电厂及变电站电气设备</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J0303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D0316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继电保护及自动装置调试维护</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J0303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D0317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输配电线路施工与运行</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J0303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D0318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供用电技术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J0303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D0319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电力营销</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J0303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土木水利类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D0401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建筑工程施工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J0402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D0402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建筑装饰</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J0402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D0403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古建筑修缮与仿建</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J0402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D0404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城镇建设</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J0402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D0405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工程造价</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J0402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D0406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建筑设备安装</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D0407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楼宇智能化设备安装与运行</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D0408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供热通风与空调施工运行</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D0409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建筑表现</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J0402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D0410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城市燃气输配与应用</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D0411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给排水工程施工与运行</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D0412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市政工程施工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J0402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D0413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道路与桥梁工程施工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J0402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D0414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铁道施工与养护</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J0402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D0415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水利水电工程施工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D0416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工程测量</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J0402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D0417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土建工程检测</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J0402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D0418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工程机械运用与维修</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加工制造类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D0501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钢铁冶炼</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D0502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金属压力加工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D0503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工程材料检测技术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D0504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钢铁装备运行与维护</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D0505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有色装备运行与维护</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D0506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建材装备运行与维护</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D0507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有色金属冶炼</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D0508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建筑与工程材料</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D0509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硅酸盐工艺及工业控制</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D0510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选矿技术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D0511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机械制造技术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D0512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机械加工技术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D0513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机电技术应用</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D0514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数控技术应用</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D0515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模具制造技术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D0516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机电设备安装与维修</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D0517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汽车制造与检修</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D0518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汽车电子技术应用</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D0519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船舶制造与修理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D0520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船舶机械装置安装与维修</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D0521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金属热加工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D0522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焊接技术应用</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D0523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机电产品检测技术应用</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D0524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金属表面处理技术应用</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D0525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工业自动化仪表及应用</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D0526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医疗设备安装与维护</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D0527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电机电器制造与维修</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D0528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光电仪器制造与维修</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D0529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制冷和空调设备运行与维修</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D0530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电气运行与控制</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D0531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电气技术应用</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D0532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电子电器应用与维修</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D0533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电子材料与元器件制造</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D0534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微电子技术与器件制造</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J0501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石油化工类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D0601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化学工艺</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J0601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D0602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工业分析与检验</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J0601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D0603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石油炼制</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J0601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D0604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化工机械与设备</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J0601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D0605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化工仪表及自动化</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J0601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D0606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精细化工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J0601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D0607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生物化工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J0601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D0608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高分子材料加工工艺</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J0601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D0609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橡胶工艺</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J0601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D0610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林产化工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J0601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D0611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核化学化工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J0602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D0612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火炸药技术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J0602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D0613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花炮生产与管理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J0602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轻纺食品类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D0701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制浆造纸工艺</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J0701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D0702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平面媒体印制技术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J0701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D0703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塑料成型</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J0701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D0704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纺织技术及营销</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J0701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D0705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纺织高分子材料工艺</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J0701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D0706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丝绸工艺</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J0701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D0707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染整技术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J0701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D0708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针织工艺</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J0701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D0709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服装制作与生产管理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J0701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D0710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皮革工艺</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J0702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D0711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食品生物工艺</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J0703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D0712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民族风味食品加工制作</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J0703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D0713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粮油饲料加工技术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J0703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D0714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粮油储运与检验技术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J0703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D0715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家具设计与制作</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J0701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交通运输类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D0801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铁道运输管理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D0802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电力机车运用与检修</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D0803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内燃机车运用与检修</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D0804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铁道车辆运用与检修</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D0805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电气化铁道供电</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D0806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铁道信号</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D0807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城市轨道交通运营管理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D0808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城市轨道交通车辆运用与检修</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D0809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城市轨道交通供电</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D0810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城市轨道交通信号</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D0811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船舶驾驶</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D0812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轮机管理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D0813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船舶水手与机工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D0814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船舶电气技术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D0815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船舶通信与导航</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D0816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外轮理货</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D0817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船舶检验</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D0818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港口机械运行与维护</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D0819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工程潜水</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D0820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水路运输管理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D0821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民航运输</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D0822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飞机维修</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D0823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航空服务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D0824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航空油料管理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D0825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汽车运用与维修</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D0826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汽车车身修复</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D0827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汽车美容与装潢</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D0828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汽车整车与配件营销</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D0829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公路运输管理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D0830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公路养护与管理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信息技术类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D0901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计算机应用</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J0901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D0902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数字媒体技术应用</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J0901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D0903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计算机平面设计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J0901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D0904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计算机动漫与游戏制作</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J0901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D0905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计算机网络技术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J0901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D0906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网站建设与管理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J0901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D0907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网络安防系统安装与维护</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J0901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D0908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软件与信息服务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J0901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D0909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客户信息服务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J0901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D0910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计算机速录</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J0901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D0911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计算机与数码产品维修</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J0901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D0912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电子与信息技术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J0901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D0913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电子技术应用</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J0901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D0914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数字广播电视技术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J0901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D0915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通信技术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J0901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D0916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通信运营服务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J0901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D0917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通信系统工程安装与维护</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J0901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D0918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邮政通信管理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J0901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医药卫生类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D1001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护理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D1002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助产</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D1003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农村医学</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D1004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营养与保健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D1005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康复技术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D1006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眼视光与配镜</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D1007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医学检验技术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D1008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医学影像技术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D1009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口腔修复工艺</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D1010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医学生物技术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D1011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药剂</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D1012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中医护理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D1013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D1014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藏医医疗与藏药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D1015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维医医疗与维药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D1016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蒙医医疗与蒙药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D1017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中医康复保健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D1018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D1019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中药制药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D1020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制药技术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D1021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生物技术制药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D1022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药品食品检验</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D1023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医疗器械维修与营销</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D1024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制药设备维修</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D1025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计划生育与生殖健康咨询</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D1026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人口与计划生育管理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D1027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卫生信息管理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D1028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医药卫生财会</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J1001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休闲保健类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D1101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美容美体</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J1101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D1102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美发与形象设计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J1101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D1103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健体塑身</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J1101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D1104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休闲服务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J1101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财经商贸类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D1201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会计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D1202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会计电算化</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D1203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统计事务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D1204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金融事务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D1205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保险事务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D1206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信托事务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D1207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商品经营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D1208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专卖品经营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D1209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连锁经营与管理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D1210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市场营销</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D1211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电子商务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D1212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国际商务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D1213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商务英语</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D1214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商务日语</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D1215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商务德语</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D1216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商务韩语</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D1217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商务俄语</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D1218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商务法语</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D1219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物流服务与管理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D1220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房地产营销与管理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D1221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客户服务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J1203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旅游服务类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D1301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酒店服务与管理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J1303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D1302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旅游服务与管理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J1303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D1303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旅游外语</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J1303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D1304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导游服务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J1303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D1305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景区服务与管理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J1303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D1306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会展服务与管理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J1303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D1307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中餐烹饪</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J1302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D1308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西餐烹饪</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J1302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D1309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钟表维修</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J1301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文化艺术类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D1401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社会文化艺术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D1402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广播影视节目制作</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D1403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播音与节目主持</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D1404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影像与影视技术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D1405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图书信息管理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D1406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出版与发行</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D1407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文物保护技术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D1408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音乐</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D1409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舞蹈表演</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D1410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戏曲表演</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D1411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曲艺表演</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D1412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戏剧表演</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D1413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杂技与魔术表演</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D1414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木偶与皮影表演及制作</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D1415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乐器修造</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D1416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计算机音乐制作</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D1417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动漫游戏</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D1418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网页美术设计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D1419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数字影像技术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D1420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工艺美术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D1421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美术绘画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D1422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美术设计与制作</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D1423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商品画制作与经营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D1424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服装设计与工艺</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D1425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服装展示与礼仪</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D1426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皮革制品造型设计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D1427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珠宝玉石加工与营销</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D1428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民间传统工艺</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D1429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民族音乐与舞蹈</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D1430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民族乐器修造</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D1431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民族美术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D1432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民族服装与服饰</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D1433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民族织绣</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D1434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民族民居装饰</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D1435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民族工艺品制作</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J1401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体育与健身类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D1501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运动训练</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J1501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D1502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休闲体育服务与管理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D1503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体育设施管理与经营</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J1502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教育类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D1601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学前教育</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J1601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司法服务类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D1701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法律事务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J1701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D1702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社区法律服务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J1701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D1703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保安</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J1701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公共管理与服务类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D1801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办公室文员</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D1802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文秘</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D1803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商务助理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D1804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公关礼仪</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D1805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工商行政管理事务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D1806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人力资源管理事务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D1807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物业管理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D1808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产品质量监督检验</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J1801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D1809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民政服务与管理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J1802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D1810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社区公共事务管理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J1802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D1811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社会保障事务</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J1802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D1812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社会福利事业管理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J1802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D1813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家政服务与管理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J1802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D1814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老年人服务与管理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J1802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D1815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现代殡仪技术与管理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J1802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文化课类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D1901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思想政治</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D1902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数学</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D1903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化学</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D1904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地理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D1905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语文</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D1906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信息技术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D1907</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生物</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D1908</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体育与健康</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D1909</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外语</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D1910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物理</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D1911</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历史</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D1912</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心理教育</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J1901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D1913</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音乐</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D1914</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美术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D1915</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通用技术</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48"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D1916</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英语</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75" w:type="dxa"/>
            <w:left w:w="75" w:type="dxa"/>
            <w:bottom w:w="75" w:type="dxa"/>
            <w:right w:w="75" w:type="dxa"/>
          </w:tblCellMar>
        </w:tblPrEx>
        <w:trPr>
          <w:trHeight w:val="661" w:hRule="atLeast"/>
        </w:trPr>
        <w:tc>
          <w:tcPr>
            <w:tcW w:w="1737"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D20</w:t>
            </w:r>
          </w:p>
        </w:tc>
        <w:tc>
          <w:tcPr>
            <w:tcW w:w="504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其他</w:t>
            </w:r>
          </w:p>
        </w:tc>
        <w:tc>
          <w:tcPr>
            <w:tcW w:w="247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 </w:t>
            </w:r>
          </w:p>
        </w:tc>
      </w:tr>
    </w:tbl>
    <w:p>
      <w:pPr>
        <w:pStyle w:val="3"/>
        <w:keepNext w:val="0"/>
        <w:keepLines w:val="0"/>
        <w:widowControl/>
        <w:suppressLineNumbers w:val="0"/>
        <w:shd w:val="clear" w:fill="FFFFFF"/>
        <w:spacing w:after="300" w:afterAutospacing="0" w:line="420" w:lineRule="atLeast"/>
        <w:ind w:left="0" w:righ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备注：如考生选择农林牧渔类中的设施农业生产技术学科，</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对应教材编号为J0102，教材名为《植物生理学》。</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附件9：</w:t>
      </w:r>
    </w:p>
    <w:p>
      <w:pPr>
        <w:pStyle w:val="3"/>
        <w:keepNext w:val="0"/>
        <w:keepLines w:val="0"/>
        <w:widowControl/>
        <w:suppressLineNumbers w:val="0"/>
        <w:shd w:val="clear" w:fill="FFFFFF"/>
        <w:spacing w:after="300" w:afterAutospacing="0"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中学教师资格考试（心理健康教育、日语、俄语）面试大纲</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一、测试性质</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面试是中小学教师资格考试的有机组成部分，属于标准参照性考试。笔试合格者，参加面试。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二、测试目标</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面试主要考察申请教师资格人员应具备的新教师基本素养、职业发展潜质教育教学实践能力，主要包括：</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1．良好的职业道德、心理素质和思维品质。</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2．仪表仪态得体，有一定的表达、交流、沟通能力。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3．能够恰当地运用教学方法、手段，教学环节规范，较好地达成教学目标。</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三、测试内容与要求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（一）职业认知</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1．热爱教育事业，有较强的从教愿望，正确认识、理解教师的职业特征，遵守教师职业道德规范，能够正确认识、分析和评价教育教学实践中的师德问题。</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2．关爱学生、尊重学生，公正平等地对待每一位学生，关注每一位学生的成长。</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（二）心理素质</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1．积极、开朗，有自信心</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具有积极向上的精神，主动热情工作</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具有坚定顽强的精神，不怕困难</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2．有较强的情绪调节与自控能力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能够有条不紊地工作，不急不躁</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能够冷静地处理问题，有应变能力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能公正地看待问题，不偏激，不固执</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（三）仪表仪态</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1．仪表整洁，符合教育职业和场景要求。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2．举止大方，符合教师礼仪要求。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3．肢体语言得体，符合教学内容要求。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（四）言语表达</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1．语言清晰，语速适宜，表达准确</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口齿清楚，讲话流利，发音标准，声音洪亮，语速适宜。</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讲话中心明确，层次分明，表达完整，有感染力。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2．善于倾听、交流，有亲和力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具有较强的口头表达能力，善于倾听别人的意见，并能够较准确地表达自己的观点。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在交流中尊重对方、态度和蔼。</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（五）思维品质</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1．能够迅速、准确地理解和分析问题，有较强的综合分析能力。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2．能够清晰有条理地陈述问题，有较强的逻辑性。</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3．能够比较全面地看待问题，思维灵活，有较好的应变能力。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4．能够提出具有创新性的解决问题的思路和方法。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（六）教学设计</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1．了解课程的目标和要求，准确把握教学内容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准确把握所教的教学内容﹑理解本课（本单元）在教材中的地位以及与其他单元的关系。</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2．根据教学内容和课程标准的要求确定教学目标﹑教学重点和难点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3．教学设计要体现学生的主体性，因材施教，选择合适的教学形式与方法。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（七）教学实施</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1．能够有效地组织学生的学习活动，注重激发学生的学习兴趣，有与学生交流的意识。</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2．能够科学准确地表达和呈现教学内容。</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3．能够适当地运用板书，板书工整、美观、适量。</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4．能够较好地控制教学时间和教学节奏，合理地安排教与学的时间，较好地达成教学目标。</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（八）教学评价</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1．在教学实施过程中注重对学生进行评价</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2．能客观评价自己的教学效果</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(九)专业知识与能力</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1．了解专业特点及人才需求</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2．掌握所教专业的知识体系与基本规律</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3．能应用专业知识解决实际问题</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四、测试方法</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采取结构化面试和情境模拟相结合的方法，通过抽题备课、试讲、答辩等方式进行。</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考生按照有关规定随机抽取备课题目，进行备课，时间20分钟，接受面试，时间20分钟。考官根据考生面试过程中的表现，进行综合性评分。</w:t>
      </w:r>
    </w:p>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五、评分标准</w:t>
      </w:r>
    </w:p>
    <w:tbl>
      <w:tblPr>
        <w:tblW w:w="9420" w:type="dxa"/>
        <w:tblInd w:w="0" w:type="dxa"/>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
      <w:tblGrid>
        <w:gridCol w:w="716"/>
        <w:gridCol w:w="995"/>
        <w:gridCol w:w="796"/>
        <w:gridCol w:w="994"/>
        <w:gridCol w:w="5919"/>
      </w:tblGrid>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fixed"/>
          <w:tblCellMar>
            <w:top w:w="75" w:type="dxa"/>
            <w:left w:w="75" w:type="dxa"/>
            <w:bottom w:w="75" w:type="dxa"/>
            <w:right w:w="75" w:type="dxa"/>
          </w:tblCellMar>
        </w:tblPrEx>
        <w:trPr>
          <w:trHeight w:val="787" w:hRule="atLeast"/>
        </w:trPr>
        <w:tc>
          <w:tcPr>
            <w:tcW w:w="716"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序号</w:t>
            </w:r>
          </w:p>
        </w:tc>
        <w:tc>
          <w:tcPr>
            <w:tcW w:w="99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测试 项目</w:t>
            </w:r>
          </w:p>
        </w:tc>
        <w:tc>
          <w:tcPr>
            <w:tcW w:w="796"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权重</w:t>
            </w: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分值</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评分标准</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1409" w:hRule="atLeast"/>
        </w:trPr>
        <w:tc>
          <w:tcPr>
            <w:tcW w:w="71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一</w:t>
            </w:r>
          </w:p>
        </w:tc>
        <w:tc>
          <w:tcPr>
            <w:tcW w:w="995"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职业 认知</w:t>
            </w:r>
          </w:p>
        </w:tc>
        <w:tc>
          <w:tcPr>
            <w:tcW w:w="79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5</w:t>
            </w: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较强的从教愿望，对教师职业有高度的认同，对教师工作的基本内容和职责有清楚了解</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5"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9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关爱学生，尊重学生、平等对待学生，关注每个学生的成长</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二</w:t>
            </w:r>
          </w:p>
        </w:tc>
        <w:tc>
          <w:tcPr>
            <w:tcW w:w="995"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心理 素质</w:t>
            </w:r>
          </w:p>
        </w:tc>
        <w:tc>
          <w:tcPr>
            <w:tcW w:w="79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5</w:t>
            </w: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活泼、开朗，有自信心</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5"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9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有较强的情绪调节能力</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三</w:t>
            </w:r>
          </w:p>
        </w:tc>
        <w:tc>
          <w:tcPr>
            <w:tcW w:w="995"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仪表 仪态</w:t>
            </w:r>
          </w:p>
        </w:tc>
        <w:tc>
          <w:tcPr>
            <w:tcW w:w="79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5</w:t>
            </w: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衣着整洁，仪表得体，符合教师职业特点</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5"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9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行为举止稳重端庄大方，教态自然，肢体表达得当</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四</w:t>
            </w:r>
          </w:p>
        </w:tc>
        <w:tc>
          <w:tcPr>
            <w:tcW w:w="995"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语言 表达</w:t>
            </w:r>
          </w:p>
        </w:tc>
        <w:tc>
          <w:tcPr>
            <w:tcW w:w="79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15</w:t>
            </w: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8</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语言清晰，表达准确，语速适宜</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5"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9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7</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善于倾听、交流，有亲和力</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五</w:t>
            </w:r>
          </w:p>
        </w:tc>
        <w:tc>
          <w:tcPr>
            <w:tcW w:w="995"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思维 品质</w:t>
            </w:r>
          </w:p>
        </w:tc>
        <w:tc>
          <w:tcPr>
            <w:tcW w:w="79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10</w:t>
            </w: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思维缜密，富有条理</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5"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9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迅速地抓住核心要素，准确地理解和分析问题</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5"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9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看待问题全面，思维灵活</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5"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9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具有创新性的解决问题的思路和方法</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六</w:t>
            </w:r>
          </w:p>
        </w:tc>
        <w:tc>
          <w:tcPr>
            <w:tcW w:w="995"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教学 设计</w:t>
            </w:r>
          </w:p>
        </w:tc>
        <w:tc>
          <w:tcPr>
            <w:tcW w:w="79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10</w:t>
            </w: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了解课程的目标与要求、准确把握教学内容</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5"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9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能根据学科的特点，确定具体的教学目标、教学重点和难点</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5"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9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教学设计体现学生的主体性</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七</w:t>
            </w:r>
          </w:p>
        </w:tc>
        <w:tc>
          <w:tcPr>
            <w:tcW w:w="995"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教学 实施</w:t>
            </w:r>
          </w:p>
        </w:tc>
        <w:tc>
          <w:tcPr>
            <w:tcW w:w="79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30</w:t>
            </w: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5</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情境创设合理，关注学习动机的激发</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5"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9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9</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教学内容表述和呈现清楚、准确</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5"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9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有与学生交流的意识，提出的问题富有启发性</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5"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9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7</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板书设计突出主题，层次分明；板书工整、美观、适量</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5"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9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6</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教学环节安排合理；时间节奏控制恰当；教学方法和手段运用有效</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八</w:t>
            </w:r>
          </w:p>
        </w:tc>
        <w:tc>
          <w:tcPr>
            <w:tcW w:w="995"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教学 评价</w:t>
            </w:r>
          </w:p>
        </w:tc>
        <w:tc>
          <w:tcPr>
            <w:tcW w:w="79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5</w:t>
            </w: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能对学生进行过程性评价</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5"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9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能客观地评价教学效果</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九</w:t>
            </w:r>
          </w:p>
        </w:tc>
        <w:tc>
          <w:tcPr>
            <w:tcW w:w="995"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专业知识与能力</w:t>
            </w:r>
          </w:p>
        </w:tc>
        <w:tc>
          <w:tcPr>
            <w:tcW w:w="796" w:type="dxa"/>
            <w:vMerge w:val="restart"/>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15</w:t>
            </w: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5</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了解专业特点及人才需求</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787" w:hRule="atLeast"/>
        </w:trPr>
        <w:tc>
          <w:tcPr>
            <w:tcW w:w="71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5"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9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5</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掌握所教专业的知识体系与基本规律</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tblLayout w:type="fixed"/>
          <w:tblCellMar>
            <w:top w:w="75" w:type="dxa"/>
            <w:left w:w="75" w:type="dxa"/>
            <w:bottom w:w="75" w:type="dxa"/>
            <w:right w:w="75" w:type="dxa"/>
          </w:tblCellMar>
        </w:tblPrEx>
        <w:trPr>
          <w:trHeight w:val="802" w:hRule="atLeast"/>
        </w:trPr>
        <w:tc>
          <w:tcPr>
            <w:tcW w:w="71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5"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left"/>
              <w:rPr>
                <w:rFonts w:hint="eastAsia" w:ascii="微软雅黑" w:hAnsi="微软雅黑" w:eastAsia="微软雅黑" w:cs="微软雅黑"/>
                <w:b w:val="0"/>
                <w:i w:val="0"/>
                <w:caps w:val="0"/>
                <w:color w:val="333333"/>
                <w:spacing w:val="0"/>
                <w:sz w:val="21"/>
                <w:szCs w:val="21"/>
              </w:rPr>
            </w:pPr>
          </w:p>
        </w:tc>
        <w:tc>
          <w:tcPr>
            <w:tcW w:w="796" w:type="dxa"/>
            <w:vMerge w:val="continue"/>
            <w:tcBorders>
              <w:top w:val="single" w:color="DDDDDD" w:sz="6" w:space="0"/>
              <w:left w:val="single" w:color="DDDDDD" w:sz="6" w:space="0"/>
              <w:bottom w:val="single" w:color="DDDDDD" w:sz="6" w:space="0"/>
              <w:right w:val="single" w:color="DDDDDD" w:sz="6" w:space="0"/>
            </w:tcBorders>
            <w:shd w:val="clear" w:color="auto" w:fill="FFFFFF"/>
            <w:vAlign w:val="center"/>
          </w:tcPr>
          <w:p>
            <w:pPr>
              <w:jc w:val="center"/>
              <w:rPr>
                <w:rFonts w:hint="eastAsia" w:ascii="微软雅黑" w:hAnsi="微软雅黑" w:eastAsia="微软雅黑" w:cs="微软雅黑"/>
                <w:b w:val="0"/>
                <w:i w:val="0"/>
                <w:caps w:val="0"/>
                <w:color w:val="333333"/>
                <w:spacing w:val="0"/>
                <w:sz w:val="21"/>
                <w:szCs w:val="21"/>
              </w:rPr>
            </w:pPr>
          </w:p>
        </w:tc>
        <w:tc>
          <w:tcPr>
            <w:tcW w:w="994"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5</w:t>
            </w:r>
          </w:p>
        </w:tc>
        <w:tc>
          <w:tcPr>
            <w:tcW w:w="5919" w:type="dxa"/>
            <w:tcBorders>
              <w:top w:val="single" w:color="DDDDDD" w:sz="6" w:space="0"/>
              <w:left w:val="single" w:color="DDDDDD" w:sz="6" w:space="0"/>
              <w:bottom w:val="single" w:color="DDDDDD" w:sz="6" w:space="0"/>
              <w:right w:val="single" w:color="DDDDDD" w:sz="6" w:space="0"/>
            </w:tcBorders>
            <w:shd w:val="clear" w:color="auto" w:fill="FFFFFF"/>
            <w:vAlign w:val="top"/>
          </w:tcPr>
          <w:p>
            <w:pPr>
              <w:keepNext w:val="0"/>
              <w:keepLines w:val="0"/>
              <w:widowControl/>
              <w:suppressLineNumbers w:val="0"/>
              <w:wordWrap w:val="0"/>
              <w:spacing w:line="420" w:lineRule="atLeast"/>
              <w:ind w:left="0" w:firstLine="0"/>
              <w:jc w:val="left"/>
              <w:textAlignment w:val="top"/>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能应用专业知识解决实际问题</w:t>
            </w:r>
          </w:p>
        </w:tc>
      </w:tr>
    </w:tbl>
    <w:p>
      <w:pPr>
        <w:pStyle w:val="3"/>
        <w:keepNext w:val="0"/>
        <w:keepLines w:val="0"/>
        <w:widowControl/>
        <w:suppressLineNumbers w:val="0"/>
        <w:shd w:val="clear" w:fill="FFFFFF"/>
        <w:spacing w:after="300" w:afterAutospacing="0"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right="0" w:firstLine="0"/>
        <w:jc w:val="center"/>
        <w:rPr>
          <w:rFonts w:hint="eastAsia" w:ascii="微软雅黑" w:hAnsi="微软雅黑" w:eastAsia="微软雅黑" w:cs="微软雅黑"/>
          <w:b w:val="0"/>
          <w:i w:val="0"/>
          <w:caps w:val="0"/>
          <w:color w:val="333333"/>
          <w:spacing w:val="0"/>
          <w:sz w:val="21"/>
          <w:szCs w:val="21"/>
        </w:rPr>
      </w:pPr>
      <w:r>
        <w:rPr>
          <w:rStyle w:val="5"/>
          <w:rFonts w:hint="eastAsia" w:ascii="微软雅黑" w:hAnsi="微软雅黑" w:eastAsia="微软雅黑" w:cs="微软雅黑"/>
          <w:i w:val="0"/>
          <w:caps w:val="0"/>
          <w:color w:val="333333"/>
          <w:spacing w:val="0"/>
          <w:sz w:val="21"/>
          <w:szCs w:val="21"/>
          <w:shd w:val="clear" w:fill="FFFFFF"/>
        </w:rPr>
        <w:t>六、试题示例</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Style w:val="5"/>
          <w:rFonts w:hint="eastAsia" w:ascii="微软雅黑" w:hAnsi="微软雅黑" w:eastAsia="微软雅黑" w:cs="微软雅黑"/>
          <w:i w:val="0"/>
          <w:caps w:val="0"/>
          <w:color w:val="333333"/>
          <w:spacing w:val="0"/>
          <w:sz w:val="21"/>
          <w:szCs w:val="21"/>
          <w:shd w:val="clear" w:fill="FFFFFF"/>
        </w:rPr>
        <w:t>例一：</w:t>
      </w:r>
      <w:r>
        <w:rPr>
          <w:rFonts w:hint="eastAsia" w:ascii="微软雅黑" w:hAnsi="微软雅黑" w:eastAsia="微软雅黑" w:cs="微软雅黑"/>
          <w:i w:val="0"/>
          <w:caps w:val="0"/>
          <w:color w:val="333333"/>
          <w:spacing w:val="0"/>
          <w:sz w:val="21"/>
          <w:szCs w:val="21"/>
          <w:shd w:val="clear" w:fill="FFFFFF"/>
        </w:rPr>
        <w:t> </w:t>
      </w:r>
      <w:r>
        <w:rPr>
          <w:rStyle w:val="5"/>
          <w:rFonts w:hint="eastAsia" w:ascii="微软雅黑" w:hAnsi="微软雅黑" w:eastAsia="微软雅黑" w:cs="微软雅黑"/>
          <w:i w:val="0"/>
          <w:caps w:val="0"/>
          <w:color w:val="333333"/>
          <w:spacing w:val="0"/>
          <w:sz w:val="21"/>
          <w:szCs w:val="21"/>
          <w:shd w:val="clear" w:fill="FFFFFF"/>
        </w:rPr>
        <w:t>《心理健康教育》试讲教学设计</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课题内容</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drawing>
          <wp:inline distT="0" distB="0" distL="114300" distR="114300">
            <wp:extent cx="6019800" cy="2333625"/>
            <wp:effectExtent l="0" t="0" r="0" b="9525"/>
            <wp:docPr id="11" name="图片 11"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59"/>
                    <pic:cNvPicPr>
                      <a:picLocks noChangeAspect="1"/>
                    </pic:cNvPicPr>
                  </pic:nvPicPr>
                  <pic:blipFill>
                    <a:blip r:embed="rId7"/>
                    <a:stretch>
                      <a:fillRect/>
                    </a:stretch>
                  </pic:blipFill>
                  <pic:spPr>
                    <a:xfrm>
                      <a:off x="0" y="0"/>
                      <a:ext cx="6019800" cy="2333625"/>
                    </a:xfrm>
                    <a:prstGeom prst="rect">
                      <a:avLst/>
                    </a:prstGeom>
                    <a:noFill/>
                    <a:ln w="9525">
                      <a:noFill/>
                    </a:ln>
                  </pic:spPr>
                </pic:pic>
              </a:graphicData>
            </a:graphic>
          </wp:inline>
        </w:drawing>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要求：</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（1）配合教学内容适当板书。</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（2）教学过程需有提问环节。</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（3）教学中应有过程性评价。</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Style w:val="5"/>
          <w:rFonts w:hint="eastAsia" w:ascii="微软雅黑" w:hAnsi="微软雅黑" w:eastAsia="微软雅黑" w:cs="微软雅黑"/>
          <w:i w:val="0"/>
          <w:caps w:val="0"/>
          <w:color w:val="333333"/>
          <w:spacing w:val="0"/>
          <w:sz w:val="21"/>
          <w:szCs w:val="21"/>
          <w:shd w:val="clear" w:fill="FFFFFF"/>
        </w:rPr>
        <w:t>例二：《日语》试讲教学设计</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课题内容：</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drawing>
          <wp:inline distT="0" distB="0" distL="114300" distR="114300">
            <wp:extent cx="5629275" cy="2762250"/>
            <wp:effectExtent l="0" t="0" r="9525" b="0"/>
            <wp:docPr id="12" name="图片 12"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60"/>
                    <pic:cNvPicPr>
                      <a:picLocks noChangeAspect="1"/>
                    </pic:cNvPicPr>
                  </pic:nvPicPr>
                  <pic:blipFill>
                    <a:blip r:embed="rId8"/>
                    <a:stretch>
                      <a:fillRect/>
                    </a:stretch>
                  </pic:blipFill>
                  <pic:spPr>
                    <a:xfrm>
                      <a:off x="0" y="0"/>
                      <a:ext cx="5629275" cy="2762250"/>
                    </a:xfrm>
                    <a:prstGeom prst="rect">
                      <a:avLst/>
                    </a:prstGeom>
                    <a:noFill/>
                    <a:ln w="9525">
                      <a:noFill/>
                    </a:ln>
                  </pic:spPr>
                </pic:pic>
              </a:graphicData>
            </a:graphic>
          </wp:inline>
        </w:drawing>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要求：</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（1）配合教学内容适当板书。</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（2）教学过程需有提问环节。</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（3）教学中应有过程性评价。</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Style w:val="5"/>
          <w:rFonts w:hint="eastAsia" w:ascii="微软雅黑" w:hAnsi="微软雅黑" w:eastAsia="微软雅黑" w:cs="微软雅黑"/>
          <w:i w:val="0"/>
          <w:caps w:val="0"/>
          <w:color w:val="333333"/>
          <w:spacing w:val="0"/>
          <w:sz w:val="21"/>
          <w:szCs w:val="21"/>
          <w:shd w:val="clear" w:fill="FFFFFF"/>
        </w:rPr>
        <w:t>例三：《俄语》试讲教学设计</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课题内容：</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drawing>
          <wp:inline distT="0" distB="0" distL="114300" distR="114300">
            <wp:extent cx="6372225" cy="2952750"/>
            <wp:effectExtent l="0" t="0" r="9525" b="0"/>
            <wp:docPr id="10" name="图片 13"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3" descr="IMG_261"/>
                    <pic:cNvPicPr>
                      <a:picLocks noChangeAspect="1"/>
                    </pic:cNvPicPr>
                  </pic:nvPicPr>
                  <pic:blipFill>
                    <a:blip r:embed="rId9"/>
                    <a:stretch>
                      <a:fillRect/>
                    </a:stretch>
                  </pic:blipFill>
                  <pic:spPr>
                    <a:xfrm>
                      <a:off x="0" y="0"/>
                      <a:ext cx="6372225" cy="2952750"/>
                    </a:xfrm>
                    <a:prstGeom prst="rect">
                      <a:avLst/>
                    </a:prstGeom>
                    <a:noFill/>
                    <a:ln w="9525">
                      <a:noFill/>
                    </a:ln>
                  </pic:spPr>
                </pic:pic>
              </a:graphicData>
            </a:graphic>
          </wp:inline>
        </w:drawing>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要求：</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（1）配合教学内容适当板书。</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（2）教学过程需有提问环节。</w:t>
      </w:r>
    </w:p>
    <w:p>
      <w:pPr>
        <w:pStyle w:val="3"/>
        <w:keepNext w:val="0"/>
        <w:keepLines w:val="0"/>
        <w:widowControl/>
        <w:suppressLineNumbers w:val="0"/>
        <w:shd w:val="clear" w:fill="FFFFFF"/>
        <w:spacing w:after="300" w:afterAutospacing="0" w:line="420" w:lineRule="atLeast"/>
        <w:ind w:left="0" w:right="0" w:firstLine="0"/>
        <w:jc w:val="both"/>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（3）教学中应有过程性评价。</w:t>
      </w:r>
    </w:p>
    <w:p>
      <w:pPr>
        <w:pStyle w:val="3"/>
        <w:keepNext w:val="0"/>
        <w:keepLines w:val="0"/>
        <w:widowControl/>
        <w:suppressLineNumbers w:val="0"/>
        <w:shd w:val="clear" w:fill="FFFFFF"/>
        <w:spacing w:after="300" w:afterAutospacing="0" w:line="420"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附件10：</w:t>
      </w:r>
    </w:p>
    <w:p>
      <w:pPr>
        <w:pStyle w:val="3"/>
        <w:keepNext w:val="0"/>
        <w:keepLines w:val="0"/>
        <w:widowControl/>
        <w:suppressLineNumbers w:val="0"/>
        <w:shd w:val="clear" w:fill="FFFFFF"/>
        <w:spacing w:after="300" w:afterAutospacing="0" w:line="420" w:lineRule="atLeast"/>
        <w:ind w:left="0" w:right="0" w:firstLine="0"/>
        <w:jc w:val="center"/>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sz w:val="21"/>
          <w:szCs w:val="21"/>
          <w:shd w:val="clear" w:fill="FFFFFF"/>
        </w:rPr>
        <w:t>中小学教师资格考试报名在线支付银行列表</w:t>
      </w:r>
    </w:p>
    <w:tbl>
      <w:tblPr>
        <w:tblW w:w="90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
      <w:tblGrid>
        <w:gridCol w:w="2155"/>
        <w:gridCol w:w="69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75" w:type="dxa"/>
            <w:left w:w="75" w:type="dxa"/>
            <w:bottom w:w="75" w:type="dxa"/>
            <w:right w:w="75" w:type="dxa"/>
          </w:tblCellMar>
        </w:tblPrEx>
        <w:trPr>
          <w:trHeight w:val="736"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序号</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736"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招商银行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736"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建设银行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736"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3</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工商银行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736"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4</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平安银行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736"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5</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民生银行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736"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6</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兴业银行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736"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7</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农业银行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736"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8</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广东发展银行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736"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9</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北京银行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736"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10</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邮政银行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736"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11</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华夏银行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736"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12</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交通银行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736"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13</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浦发银行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736"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14</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光大银行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736"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15</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北京农村商业银行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736"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16</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渤海银行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736"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17</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中信银行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736"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18</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中国银行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736"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19</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上海银行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75" w:type="dxa"/>
            <w:left w:w="75" w:type="dxa"/>
            <w:bottom w:w="75" w:type="dxa"/>
            <w:right w:w="75" w:type="dxa"/>
          </w:tblCellMar>
        </w:tblPrEx>
        <w:trPr>
          <w:trHeight w:val="750" w:hRule="atLeast"/>
        </w:trPr>
        <w:tc>
          <w:tcPr>
            <w:tcW w:w="215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20</w:t>
            </w:r>
          </w:p>
        </w:tc>
        <w:tc>
          <w:tcPr>
            <w:tcW w:w="6905" w:type="dxa"/>
            <w:tcBorders>
              <w:top w:val="single" w:color="DDDDDD" w:sz="6" w:space="0"/>
              <w:left w:val="single" w:color="DDDDDD" w:sz="6" w:space="0"/>
              <w:bottom w:val="single" w:color="DDDDDD" w:sz="6" w:space="0"/>
              <w:right w:val="single" w:color="DDDDDD" w:sz="6" w:space="0"/>
            </w:tcBorders>
            <w:shd w:val="clear" w:color="auto" w:fill="FFFFFF"/>
            <w:vAlign w:val="center"/>
          </w:tcPr>
          <w:p>
            <w:pPr>
              <w:keepNext w:val="0"/>
              <w:keepLines w:val="0"/>
              <w:widowControl/>
              <w:suppressLineNumbers w:val="0"/>
              <w:wordWrap w:val="0"/>
              <w:spacing w:line="420" w:lineRule="atLeast"/>
              <w:ind w:left="0" w:firstLine="0"/>
              <w:jc w:val="left"/>
              <w:rPr>
                <w:rFonts w:hint="eastAsia" w:ascii="微软雅黑" w:hAnsi="微软雅黑" w:eastAsia="微软雅黑" w:cs="微软雅黑"/>
                <w:b w:val="0"/>
                <w:i w:val="0"/>
                <w:caps w:val="0"/>
                <w:color w:val="333333"/>
                <w:spacing w:val="0"/>
                <w:sz w:val="21"/>
                <w:szCs w:val="21"/>
              </w:rPr>
            </w:pPr>
            <w:r>
              <w:rPr>
                <w:rFonts w:hint="eastAsia" w:ascii="微软雅黑" w:hAnsi="微软雅黑" w:eastAsia="微软雅黑" w:cs="微软雅黑"/>
                <w:b w:val="0"/>
                <w:i w:val="0"/>
                <w:caps w:val="0"/>
                <w:color w:val="333333"/>
                <w:spacing w:val="0"/>
                <w:kern w:val="0"/>
                <w:sz w:val="21"/>
                <w:szCs w:val="21"/>
                <w:bdr w:val="none" w:color="auto" w:sz="0" w:space="0"/>
                <w:lang w:val="en-US" w:eastAsia="zh-CN" w:bidi="ar"/>
              </w:rPr>
              <w:t>银联支付</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59567C"/>
    <w:rsid w:val="235956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Emphasis"/>
    <w:basedOn w:val="4"/>
    <w:qFormat/>
    <w:uiPriority w:val="0"/>
    <w:rPr>
      <w:i/>
    </w:rPr>
  </w:style>
  <w:style w:type="character" w:styleId="7">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2017-12-06T02:59:00Z</dcterms:created>
  <dc:creator>水无鱼</dc:creator>
  <cp:lastModifiedBy>水无鱼</cp:lastModifiedBy>
  <dcterms:modified xsi:type="dcterms:W3CDTF">2017-12-06T04:48:38Z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