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520"/>
        <w:rPr>
          <w:rFonts w:hint="eastAsia" w:ascii="仿宋_GB2312" w:eastAsia="仿宋_GB2312"/>
          <w:spacing w:val="-20"/>
          <w:sz w:val="30"/>
          <w:szCs w:val="30"/>
        </w:rPr>
      </w:pPr>
      <w:r>
        <w:rPr>
          <w:rFonts w:hint="eastAsia" w:ascii="仿宋_GB2312" w:eastAsia="仿宋_GB2312"/>
          <w:spacing w:val="-20"/>
          <w:sz w:val="30"/>
          <w:szCs w:val="30"/>
        </w:rPr>
        <w:t>附件1</w:t>
      </w:r>
    </w:p>
    <w:p>
      <w:pPr>
        <w:ind w:right="520"/>
        <w:jc w:val="center"/>
        <w:rPr>
          <w:rFonts w:hint="eastAsia" w:ascii="仿宋_GB2312" w:eastAsia="仿宋_GB2312"/>
          <w:sz w:val="28"/>
          <w:szCs w:val="28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湘潭市岳塘区2016年公开选调优秀教师岗位与计划表</w:t>
      </w:r>
    </w:p>
    <w:bookmarkEnd w:id="0"/>
    <w:tbl>
      <w:tblPr>
        <w:tblStyle w:val="5"/>
        <w:tblW w:w="141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1167"/>
        <w:gridCol w:w="1080"/>
        <w:gridCol w:w="720"/>
        <w:gridCol w:w="720"/>
        <w:gridCol w:w="720"/>
        <w:gridCol w:w="720"/>
        <w:gridCol w:w="900"/>
        <w:gridCol w:w="5400"/>
        <w:gridCol w:w="763"/>
        <w:gridCol w:w="8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767" w:hRule="atLeast"/>
        </w:trPr>
        <w:tc>
          <w:tcPr>
            <w:tcW w:w="1101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选调单位</w:t>
            </w:r>
          </w:p>
        </w:tc>
        <w:tc>
          <w:tcPr>
            <w:tcW w:w="1167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单位性质</w:t>
            </w:r>
          </w:p>
        </w:tc>
        <w:tc>
          <w:tcPr>
            <w:tcW w:w="108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岗位名称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选调计划</w:t>
            </w:r>
          </w:p>
          <w:p>
            <w:pPr>
              <w:jc w:val="center"/>
              <w:rPr>
                <w:rFonts w:hint="eastAsia"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人数</w:t>
            </w:r>
          </w:p>
        </w:tc>
        <w:tc>
          <w:tcPr>
            <w:tcW w:w="9223" w:type="dxa"/>
            <w:gridSpan w:val="6"/>
            <w:vAlign w:val="center"/>
          </w:tcPr>
          <w:p>
            <w:pPr>
              <w:jc w:val="center"/>
              <w:rPr>
                <w:rFonts w:hint="eastAsia"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岗       位       条       件</w:t>
            </w:r>
          </w:p>
        </w:tc>
        <w:tc>
          <w:tcPr>
            <w:tcW w:w="851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110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pacing w:val="-20"/>
                <w:sz w:val="24"/>
              </w:rPr>
            </w:pPr>
          </w:p>
        </w:tc>
        <w:tc>
          <w:tcPr>
            <w:tcW w:w="1167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pacing w:val="-20"/>
                <w:sz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pacing w:val="-20"/>
                <w:sz w:val="24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pacing w:val="-20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性别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年龄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学历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专业</w:t>
            </w:r>
          </w:p>
        </w:tc>
        <w:tc>
          <w:tcPr>
            <w:tcW w:w="540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其他要求</w:t>
            </w:r>
          </w:p>
        </w:tc>
        <w:tc>
          <w:tcPr>
            <w:tcW w:w="76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工作</w:t>
            </w:r>
          </w:p>
          <w:p>
            <w:pPr>
              <w:jc w:val="center"/>
              <w:rPr>
                <w:rFonts w:hint="eastAsia"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分配</w:t>
            </w:r>
          </w:p>
        </w:tc>
        <w:tc>
          <w:tcPr>
            <w:tcW w:w="85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7" w:hRule="atLeast"/>
        </w:trPr>
        <w:tc>
          <w:tcPr>
            <w:tcW w:w="1101" w:type="dxa"/>
            <w:vAlign w:val="center"/>
          </w:tcPr>
          <w:p>
            <w:pPr>
              <w:rPr>
                <w:rFonts w:hint="eastAsia"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区属小学</w:t>
            </w:r>
          </w:p>
        </w:tc>
        <w:tc>
          <w:tcPr>
            <w:tcW w:w="1167" w:type="dxa"/>
            <w:vAlign w:val="center"/>
          </w:tcPr>
          <w:p>
            <w:pPr>
              <w:rPr>
                <w:rFonts w:hint="eastAsia"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全额拨款</w:t>
            </w:r>
          </w:p>
          <w:p>
            <w:pPr>
              <w:rPr>
                <w:rFonts w:hint="eastAsia"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事业单位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hint="eastAsia"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小学语文、数学教师</w:t>
            </w:r>
          </w:p>
        </w:tc>
        <w:tc>
          <w:tcPr>
            <w:tcW w:w="720" w:type="dxa"/>
            <w:vAlign w:val="center"/>
          </w:tcPr>
          <w:p>
            <w:pPr>
              <w:rPr>
                <w:rFonts w:hint="eastAsia"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3</w:t>
            </w:r>
          </w:p>
        </w:tc>
        <w:tc>
          <w:tcPr>
            <w:tcW w:w="720" w:type="dxa"/>
            <w:vAlign w:val="center"/>
          </w:tcPr>
          <w:p>
            <w:pPr>
              <w:rPr>
                <w:rFonts w:hint="eastAsia"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不限</w:t>
            </w:r>
          </w:p>
        </w:tc>
        <w:tc>
          <w:tcPr>
            <w:tcW w:w="720" w:type="dxa"/>
            <w:vAlign w:val="center"/>
          </w:tcPr>
          <w:p>
            <w:pPr>
              <w:rPr>
                <w:rFonts w:hint="eastAsia"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40周岁以下</w:t>
            </w:r>
          </w:p>
        </w:tc>
        <w:tc>
          <w:tcPr>
            <w:tcW w:w="720" w:type="dxa"/>
            <w:vAlign w:val="center"/>
          </w:tcPr>
          <w:p>
            <w:pPr>
              <w:rPr>
                <w:rFonts w:hint="eastAsia"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大学</w:t>
            </w:r>
          </w:p>
          <w:p>
            <w:pPr>
              <w:rPr>
                <w:rFonts w:hint="eastAsia"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专科</w:t>
            </w:r>
          </w:p>
          <w:p>
            <w:pPr>
              <w:rPr>
                <w:rFonts w:hint="eastAsia"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以上</w:t>
            </w:r>
          </w:p>
        </w:tc>
        <w:tc>
          <w:tcPr>
            <w:tcW w:w="900" w:type="dxa"/>
            <w:vAlign w:val="center"/>
          </w:tcPr>
          <w:p>
            <w:pPr>
              <w:rPr>
                <w:rFonts w:hint="eastAsia"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非体育</w:t>
            </w:r>
          </w:p>
          <w:p>
            <w:pPr>
              <w:rPr>
                <w:rFonts w:hint="eastAsia"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艺术类</w:t>
            </w:r>
          </w:p>
        </w:tc>
        <w:tc>
          <w:tcPr>
            <w:tcW w:w="5400" w:type="dxa"/>
            <w:vAlign w:val="center"/>
          </w:tcPr>
          <w:p>
            <w:pPr>
              <w:rPr>
                <w:rFonts w:hint="eastAsia" w:ascii="仿宋_GB2312" w:eastAsia="仿宋_GB2312"/>
                <w:spacing w:val="-10"/>
                <w:sz w:val="24"/>
              </w:rPr>
            </w:pPr>
            <w:r>
              <w:rPr>
                <w:rFonts w:hint="eastAsia" w:ascii="仿宋_GB2312" w:eastAsia="仿宋_GB2312"/>
                <w:spacing w:val="-10"/>
                <w:sz w:val="24"/>
              </w:rPr>
              <w:t>县（市、区）级及以上政府授予的劳模、优秀校长、教育工作者、教师；</w:t>
            </w:r>
          </w:p>
          <w:p>
            <w:pPr>
              <w:rPr>
                <w:rFonts w:hint="eastAsia" w:ascii="仿宋_GB2312" w:eastAsia="仿宋_GB2312"/>
                <w:spacing w:val="-10"/>
                <w:sz w:val="24"/>
              </w:rPr>
            </w:pPr>
            <w:r>
              <w:rPr>
                <w:rFonts w:hint="eastAsia" w:ascii="仿宋_GB2312" w:eastAsia="仿宋_GB2312"/>
                <w:spacing w:val="-10"/>
                <w:sz w:val="24"/>
              </w:rPr>
              <w:t>县（市、区）级以上教育行政部门评聘授予的骨干教师、学科带头人、名师工作室成员、“十佳”教师；</w:t>
            </w:r>
          </w:p>
          <w:p>
            <w:pPr>
              <w:rPr>
                <w:rFonts w:hint="eastAsia" w:ascii="仿宋_GB2312" w:eastAsia="仿宋_GB2312"/>
                <w:spacing w:val="-10"/>
                <w:sz w:val="24"/>
              </w:rPr>
            </w:pPr>
            <w:r>
              <w:rPr>
                <w:rFonts w:hint="eastAsia" w:ascii="仿宋_GB2312" w:eastAsia="仿宋_GB2312"/>
                <w:spacing w:val="-10"/>
                <w:sz w:val="24"/>
              </w:rPr>
              <w:t>县（市、区）级及以上教育行政部门组织的赛课比赛获一等奖；</w:t>
            </w:r>
          </w:p>
          <w:p>
            <w:pPr>
              <w:rPr>
                <w:rFonts w:hint="eastAsia" w:ascii="仿宋_GB2312" w:eastAsia="仿宋_GB2312"/>
                <w:spacing w:val="-10"/>
                <w:sz w:val="24"/>
              </w:rPr>
            </w:pPr>
            <w:r>
              <w:rPr>
                <w:rFonts w:hint="eastAsia" w:ascii="仿宋_GB2312" w:eastAsia="仿宋_GB2312"/>
                <w:spacing w:val="-10"/>
                <w:sz w:val="24"/>
              </w:rPr>
              <w:t>市级及以上教育行政部门授予的优秀教师、优秀班主任、优秀教育工作者；</w:t>
            </w:r>
          </w:p>
          <w:p>
            <w:pPr>
              <w:rPr>
                <w:rFonts w:hint="eastAsia" w:ascii="仿宋_GB2312" w:eastAsia="仿宋_GB2312"/>
                <w:spacing w:val="-10"/>
                <w:sz w:val="24"/>
              </w:rPr>
            </w:pPr>
            <w:r>
              <w:rPr>
                <w:rFonts w:hint="eastAsia" w:ascii="仿宋_GB2312" w:eastAsia="仿宋_GB2312"/>
                <w:spacing w:val="-10"/>
                <w:sz w:val="24"/>
              </w:rPr>
              <w:t>省级特级教师，省级以上教育基金会、教育学会获奖的优秀校长、教育工作者、教师。</w:t>
            </w:r>
          </w:p>
        </w:tc>
        <w:tc>
          <w:tcPr>
            <w:tcW w:w="763" w:type="dxa"/>
            <w:vAlign w:val="center"/>
          </w:tcPr>
          <w:p>
            <w:pPr>
              <w:rPr>
                <w:rFonts w:hint="eastAsia"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服从</w:t>
            </w:r>
          </w:p>
          <w:p>
            <w:pPr>
              <w:rPr>
                <w:rFonts w:hint="eastAsia"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统一</w:t>
            </w:r>
          </w:p>
          <w:p>
            <w:pPr>
              <w:rPr>
                <w:rFonts w:hint="eastAsia"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安排</w:t>
            </w:r>
          </w:p>
        </w:tc>
        <w:tc>
          <w:tcPr>
            <w:tcW w:w="851" w:type="dxa"/>
            <w:vAlign w:val="center"/>
          </w:tcPr>
          <w:p>
            <w:pPr>
              <w:rPr>
                <w:rFonts w:hint="eastAsia"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最低服务年限</w:t>
            </w:r>
          </w:p>
          <w:p>
            <w:pPr>
              <w:rPr>
                <w:rFonts w:hint="eastAsia"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5年</w:t>
            </w:r>
          </w:p>
        </w:tc>
      </w:tr>
    </w:tbl>
    <w:p>
      <w:pPr>
        <w:ind w:right="52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注：1、40周岁以下指在1975年6月24日以后出生的。</w:t>
      </w:r>
    </w:p>
    <w:p>
      <w:pPr>
        <w:ind w:right="520" w:firstLine="57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2、本表“其他要求”事项为2011年6月24日后获奖或任职资料（近五年资料），只需满足其中之一条件即可。</w:t>
      </w:r>
    </w:p>
    <w:p>
      <w:pPr>
        <w:rPr>
          <w:rFonts w:ascii="仿宋_GB2312" w:eastAsia="仿宋_GB2312"/>
          <w:sz w:val="32"/>
          <w:szCs w:val="32"/>
        </w:rPr>
        <w:sectPr>
          <w:pgSz w:w="16838" w:h="11906" w:orient="landscape"/>
          <w:pgMar w:top="1797" w:right="1440" w:bottom="1797" w:left="1440" w:header="851" w:footer="992" w:gutter="0"/>
          <w:cols w:space="425" w:num="1"/>
          <w:docGrid w:type="linesAndChars" w:linePitch="312" w:charSpace="0"/>
        </w:sectPr>
      </w:pP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魏碑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F2783D"/>
    <w:rsid w:val="02F2783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2016-06-15T03:58:00Z</dcterms:created>
  <dc:creator>lenovov1</dc:creator>
  <cp:lastModifiedBy>lenovov1</cp:lastModifiedBy>
  <dcterms:modified xsi:type="dcterms:W3CDTF">2016-06-15T03:58:51Z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