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60" w:lineRule="auto"/>
        <w:ind w:left="0" w:right="0"/>
        <w:jc w:val="center"/>
      </w:pPr>
      <w:r>
        <w:rPr>
          <w:rStyle w:val="4"/>
          <w:rFonts w:ascii="黑体" w:hAnsi="宋体" w:eastAsia="黑体" w:cs="黑体"/>
          <w:color w:val="FF0000"/>
          <w:sz w:val="36"/>
          <w:szCs w:val="36"/>
          <w:shd w:val="clear" w:fill="FFFFFF"/>
        </w:rPr>
        <w:t>2016年邕宁区中小学教师复征补充招聘面试资格复审公告</w:t>
      </w:r>
    </w:p>
    <w:p>
      <w:pPr>
        <w:keepNext w:val="0"/>
        <w:keepLines w:val="0"/>
        <w:widowControl/>
        <w:suppressLineNumbers w:val="0"/>
        <w:spacing w:before="0" w:beforeAutospacing="0" w:after="0" w:afterAutospacing="0" w:line="500" w:lineRule="atLeast"/>
        <w:ind w:left="0" w:right="0" w:firstLine="640"/>
        <w:jc w:val="left"/>
        <w:rPr>
          <w:rFonts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2016年邕宁区公开</w:t>
      </w:r>
      <w:r>
        <w:rPr>
          <w:rFonts w:hint="default" w:ascii="仿宋" w:hAnsi="仿宋" w:eastAsia="仿宋" w:cs="仿宋"/>
          <w:kern w:val="0"/>
          <w:sz w:val="24"/>
          <w:szCs w:val="24"/>
          <w:bdr w:val="none" w:color="auto" w:sz="0" w:space="0"/>
          <w:shd w:val="clear" w:fill="FFFFFF"/>
          <w:lang w:val="en-US" w:eastAsia="zh-CN" w:bidi="ar"/>
        </w:rPr>
        <w:fldChar w:fldCharType="begin"/>
      </w:r>
      <w:r>
        <w:rPr>
          <w:rFonts w:hint="default" w:ascii="仿宋" w:hAnsi="仿宋" w:eastAsia="仿宋" w:cs="仿宋"/>
          <w:kern w:val="0"/>
          <w:sz w:val="24"/>
          <w:szCs w:val="24"/>
          <w:bdr w:val="none" w:color="auto" w:sz="0" w:space="0"/>
          <w:shd w:val="clear" w:fill="FFFFFF"/>
          <w:lang w:val="en-US" w:eastAsia="zh-CN" w:bidi="ar"/>
        </w:rPr>
        <w:instrText xml:space="preserve"> HYPERLINK "http://www.hteacher.net/zhaojiao/" \t "http://222.216.108.124:8090/govinfo/_blank" </w:instrText>
      </w:r>
      <w:r>
        <w:rPr>
          <w:rFonts w:hint="default" w:ascii="仿宋" w:hAnsi="仿宋" w:eastAsia="仿宋" w:cs="仿宋"/>
          <w:kern w:val="0"/>
          <w:sz w:val="24"/>
          <w:szCs w:val="24"/>
          <w:bdr w:val="none" w:color="auto" w:sz="0" w:space="0"/>
          <w:shd w:val="clear" w:fill="FFFFFF"/>
          <w:lang w:val="en-US" w:eastAsia="zh-CN" w:bidi="ar"/>
        </w:rPr>
        <w:fldChar w:fldCharType="separate"/>
      </w:r>
      <w:r>
        <w:rPr>
          <w:rStyle w:val="6"/>
          <w:rFonts w:hint="default" w:ascii="仿宋" w:hAnsi="仿宋" w:eastAsia="仿宋" w:cs="仿宋"/>
          <w:color w:val="auto"/>
          <w:sz w:val="24"/>
          <w:szCs w:val="24"/>
          <w:u w:val="none"/>
          <w:bdr w:val="none" w:color="auto" w:sz="0" w:space="0"/>
          <w:shd w:val="clear" w:fill="FFFFFF"/>
          <w:lang w:val="en-US"/>
        </w:rPr>
        <w:t>招聘</w:t>
      </w:r>
      <w:r>
        <w:rPr>
          <w:rFonts w:hint="default" w:ascii="仿宋" w:hAnsi="仿宋" w:eastAsia="仿宋" w:cs="仿宋"/>
          <w:kern w:val="0"/>
          <w:sz w:val="24"/>
          <w:szCs w:val="24"/>
          <w:bdr w:val="none" w:color="auto" w:sz="0" w:space="0"/>
          <w:shd w:val="clear" w:fill="FFFFFF"/>
          <w:lang w:val="en-US" w:eastAsia="zh-CN" w:bidi="ar"/>
        </w:rPr>
        <w:fldChar w:fldCharType="end"/>
      </w:r>
      <w:r>
        <w:rPr>
          <w:rFonts w:hint="default" w:ascii="仿宋" w:hAnsi="仿宋" w:eastAsia="仿宋" w:cs="仿宋"/>
          <w:color w:val="000000"/>
          <w:kern w:val="0"/>
          <w:sz w:val="24"/>
          <w:szCs w:val="24"/>
          <w:bdr w:val="none" w:color="auto" w:sz="0" w:space="0"/>
          <w:shd w:val="clear" w:fill="FFFFFF"/>
          <w:lang w:val="en-US" w:eastAsia="zh-CN" w:bidi="ar"/>
        </w:rPr>
        <w:t>中小学</w:t>
      </w:r>
      <w:r>
        <w:rPr>
          <w:rFonts w:hint="default" w:ascii="仿宋" w:hAnsi="仿宋" w:eastAsia="仿宋" w:cs="仿宋"/>
          <w:kern w:val="0"/>
          <w:sz w:val="24"/>
          <w:szCs w:val="24"/>
          <w:bdr w:val="none" w:color="auto" w:sz="0" w:space="0"/>
          <w:shd w:val="clear" w:fill="FFFFFF"/>
          <w:lang w:val="en-US" w:eastAsia="zh-CN" w:bidi="ar"/>
        </w:rPr>
        <w:fldChar w:fldCharType="begin"/>
      </w:r>
      <w:r>
        <w:rPr>
          <w:rFonts w:hint="default" w:ascii="仿宋" w:hAnsi="仿宋" w:eastAsia="仿宋" w:cs="仿宋"/>
          <w:kern w:val="0"/>
          <w:sz w:val="24"/>
          <w:szCs w:val="24"/>
          <w:bdr w:val="none" w:color="auto" w:sz="0" w:space="0"/>
          <w:shd w:val="clear" w:fill="FFFFFF"/>
          <w:lang w:val="en-US" w:eastAsia="zh-CN" w:bidi="ar"/>
        </w:rPr>
        <w:instrText xml:space="preserve"> HYPERLINK "http://www.hteacher.net/" \t "http://222.216.108.124:8090/govinfo/_blank" </w:instrText>
      </w:r>
      <w:r>
        <w:rPr>
          <w:rFonts w:hint="default" w:ascii="仿宋" w:hAnsi="仿宋" w:eastAsia="仿宋" w:cs="仿宋"/>
          <w:kern w:val="0"/>
          <w:sz w:val="24"/>
          <w:szCs w:val="24"/>
          <w:bdr w:val="none" w:color="auto" w:sz="0" w:space="0"/>
          <w:shd w:val="clear" w:fill="FFFFFF"/>
          <w:lang w:val="en-US" w:eastAsia="zh-CN" w:bidi="ar"/>
        </w:rPr>
        <w:fldChar w:fldCharType="separate"/>
      </w:r>
      <w:r>
        <w:rPr>
          <w:rStyle w:val="6"/>
          <w:rFonts w:hint="default" w:ascii="仿宋" w:hAnsi="仿宋" w:eastAsia="仿宋" w:cs="仿宋"/>
          <w:color w:val="auto"/>
          <w:sz w:val="24"/>
          <w:szCs w:val="24"/>
          <w:u w:val="none"/>
          <w:bdr w:val="none" w:color="auto" w:sz="0" w:space="0"/>
          <w:shd w:val="clear" w:fill="FFFFFF"/>
          <w:lang w:val="en-US"/>
        </w:rPr>
        <w:t>教师</w:t>
      </w:r>
      <w:r>
        <w:rPr>
          <w:rFonts w:hint="default" w:ascii="仿宋" w:hAnsi="仿宋" w:eastAsia="仿宋" w:cs="仿宋"/>
          <w:kern w:val="0"/>
          <w:sz w:val="24"/>
          <w:szCs w:val="24"/>
          <w:bdr w:val="none" w:color="auto" w:sz="0" w:space="0"/>
          <w:shd w:val="clear" w:fill="FFFFFF"/>
          <w:lang w:val="en-US" w:eastAsia="zh-CN" w:bidi="ar"/>
        </w:rPr>
        <w:fldChar w:fldCharType="end"/>
      </w:r>
      <w:r>
        <w:rPr>
          <w:rFonts w:hint="default" w:ascii="仿宋" w:hAnsi="仿宋" w:eastAsia="仿宋" w:cs="仿宋"/>
          <w:color w:val="000000"/>
          <w:kern w:val="0"/>
          <w:sz w:val="24"/>
          <w:szCs w:val="24"/>
          <w:bdr w:val="none" w:color="auto" w:sz="0" w:space="0"/>
          <w:shd w:val="clear" w:fill="FFFFFF"/>
          <w:lang w:val="en-US" w:eastAsia="zh-CN" w:bidi="ar"/>
        </w:rPr>
        <w:t>复征补充招聘面试资格复审入围名单已在广西中小学教师公开招聘报名系统平台公布。根据本城区实际情况，现将面试</w:t>
      </w:r>
      <w:r>
        <w:rPr>
          <w:rFonts w:hint="default" w:ascii="仿宋" w:hAnsi="仿宋" w:eastAsia="仿宋" w:cs="仿宋"/>
          <w:kern w:val="0"/>
          <w:sz w:val="24"/>
          <w:szCs w:val="24"/>
          <w:bdr w:val="none" w:color="auto" w:sz="0" w:space="0"/>
          <w:shd w:val="clear" w:fill="FFFFFF"/>
          <w:lang w:val="en-US" w:eastAsia="zh-CN" w:bidi="ar"/>
        </w:rPr>
        <w:fldChar w:fldCharType="begin"/>
      </w:r>
      <w:r>
        <w:rPr>
          <w:rFonts w:hint="default" w:ascii="仿宋" w:hAnsi="仿宋" w:eastAsia="仿宋" w:cs="仿宋"/>
          <w:kern w:val="0"/>
          <w:sz w:val="24"/>
          <w:szCs w:val="24"/>
          <w:bdr w:val="none" w:color="auto" w:sz="0" w:space="0"/>
          <w:shd w:val="clear" w:fill="FFFFFF"/>
          <w:lang w:val="en-US" w:eastAsia="zh-CN" w:bidi="ar"/>
        </w:rPr>
        <w:instrText xml:space="preserve"> HYPERLINK "http://www.hteacher.net/zige/" \t "http://222.216.108.124:8090/govinfo/_blank" </w:instrText>
      </w:r>
      <w:r>
        <w:rPr>
          <w:rFonts w:hint="default" w:ascii="仿宋" w:hAnsi="仿宋" w:eastAsia="仿宋" w:cs="仿宋"/>
          <w:kern w:val="0"/>
          <w:sz w:val="24"/>
          <w:szCs w:val="24"/>
          <w:bdr w:val="none" w:color="auto" w:sz="0" w:space="0"/>
          <w:shd w:val="clear" w:fill="FFFFFF"/>
          <w:lang w:val="en-US" w:eastAsia="zh-CN" w:bidi="ar"/>
        </w:rPr>
        <w:fldChar w:fldCharType="separate"/>
      </w:r>
      <w:r>
        <w:rPr>
          <w:rStyle w:val="6"/>
          <w:rFonts w:hint="default" w:ascii="仿宋" w:hAnsi="仿宋" w:eastAsia="仿宋" w:cs="仿宋"/>
          <w:color w:val="auto"/>
          <w:sz w:val="24"/>
          <w:szCs w:val="24"/>
          <w:u w:val="none"/>
          <w:bdr w:val="none" w:color="auto" w:sz="0" w:space="0"/>
          <w:shd w:val="clear" w:fill="FFFFFF"/>
          <w:lang w:val="en-US"/>
        </w:rPr>
        <w:t>资格</w:t>
      </w:r>
      <w:r>
        <w:rPr>
          <w:rFonts w:hint="default" w:ascii="仿宋" w:hAnsi="仿宋" w:eastAsia="仿宋" w:cs="仿宋"/>
          <w:kern w:val="0"/>
          <w:sz w:val="24"/>
          <w:szCs w:val="24"/>
          <w:bdr w:val="none" w:color="auto" w:sz="0" w:space="0"/>
          <w:shd w:val="clear" w:fill="FFFFFF"/>
          <w:lang w:val="en-US" w:eastAsia="zh-CN" w:bidi="ar"/>
        </w:rPr>
        <w:fldChar w:fldCharType="end"/>
      </w:r>
      <w:r>
        <w:rPr>
          <w:rFonts w:hint="default" w:ascii="仿宋" w:hAnsi="仿宋" w:eastAsia="仿宋" w:cs="仿宋"/>
          <w:color w:val="000000"/>
          <w:kern w:val="0"/>
          <w:sz w:val="24"/>
          <w:szCs w:val="24"/>
          <w:bdr w:val="none" w:color="auto" w:sz="0" w:space="0"/>
          <w:shd w:val="clear" w:fill="FFFFFF"/>
          <w:lang w:val="en-US" w:eastAsia="zh-CN" w:bidi="ar"/>
        </w:rPr>
        <w:t>复审安排公告如下：</w:t>
      </w:r>
      <w:bookmarkStart w:id="0" w:name="_GoBack"/>
      <w:bookmarkEnd w:id="0"/>
    </w:p>
    <w:p>
      <w:pPr>
        <w:keepNext w:val="0"/>
        <w:keepLines w:val="0"/>
        <w:widowControl/>
        <w:suppressLineNumbers w:val="0"/>
        <w:spacing w:before="0" w:beforeAutospacing="0" w:after="0" w:afterAutospacing="0" w:line="500" w:lineRule="atLeast"/>
        <w:ind w:left="0" w:right="0" w:firstLine="64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一、资格复审对象</w:t>
      </w:r>
    </w:p>
    <w:p>
      <w:pPr>
        <w:keepNext w:val="0"/>
        <w:keepLines w:val="0"/>
        <w:widowControl/>
        <w:suppressLineNumbers w:val="0"/>
        <w:spacing w:before="0" w:beforeAutospacing="0" w:after="0" w:afterAutospacing="0" w:line="500" w:lineRule="atLeast"/>
        <w:ind w:left="0" w:right="0" w:firstLine="64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报名应聘邕宁区2016年中小学教师复征补充招聘岗位并通过网上资格审查合格人员。</w:t>
      </w:r>
    </w:p>
    <w:p>
      <w:pPr>
        <w:keepNext w:val="0"/>
        <w:keepLines w:val="0"/>
        <w:widowControl/>
        <w:suppressLineNumbers w:val="0"/>
        <w:spacing w:before="0" w:beforeAutospacing="0" w:after="0" w:afterAutospacing="0" w:line="500" w:lineRule="atLeast"/>
        <w:ind w:left="0" w:right="0" w:firstLine="64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二、资格复审时间</w:t>
      </w:r>
    </w:p>
    <w:p>
      <w:pPr>
        <w:keepNext w:val="0"/>
        <w:keepLines w:val="0"/>
        <w:widowControl/>
        <w:suppressLineNumbers w:val="0"/>
        <w:spacing w:before="0" w:beforeAutospacing="0" w:after="0" w:afterAutospacing="0" w:line="500" w:lineRule="atLeast"/>
        <w:ind w:left="0" w:right="0" w:firstLine="64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2016年8 月16日 (星期二)，上午8：00—12：00。</w:t>
      </w:r>
    </w:p>
    <w:p>
      <w:pPr>
        <w:keepNext w:val="0"/>
        <w:keepLines w:val="0"/>
        <w:widowControl/>
        <w:suppressLineNumbers w:val="0"/>
        <w:spacing w:before="0" w:beforeAutospacing="0" w:after="0" w:afterAutospacing="0" w:line="500" w:lineRule="atLeast"/>
        <w:ind w:left="0" w:right="0" w:firstLine="64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三、资格复审地点</w:t>
      </w:r>
    </w:p>
    <w:p>
      <w:pPr>
        <w:keepNext w:val="0"/>
        <w:keepLines w:val="0"/>
        <w:widowControl/>
        <w:suppressLineNumbers w:val="0"/>
        <w:spacing w:before="0" w:beforeAutospacing="0" w:after="0" w:afterAutospacing="0" w:line="500" w:lineRule="atLeast"/>
        <w:ind w:left="0" w:right="0" w:firstLine="64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南宁市邕宁区和美巷15号邕宁区教育局北楼三楼会议室( 联系电话：0771-4715461 、0771-4724862，联系人：玉老师 、粟老师 ) 。</w:t>
      </w:r>
    </w:p>
    <w:p>
      <w:pPr>
        <w:keepNext w:val="0"/>
        <w:keepLines w:val="0"/>
        <w:widowControl/>
        <w:suppressLineNumbers w:val="0"/>
        <w:spacing w:before="0" w:beforeAutospacing="0" w:after="0" w:afterAutospacing="0" w:line="500" w:lineRule="atLeast"/>
        <w:ind w:left="0" w:right="0" w:firstLine="64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四、资格复审需准备材料</w:t>
      </w:r>
    </w:p>
    <w:p>
      <w:pPr>
        <w:keepNext w:val="0"/>
        <w:keepLines w:val="0"/>
        <w:widowControl/>
        <w:suppressLineNumbers w:val="0"/>
        <w:spacing w:before="0" w:beforeAutospacing="0" w:after="0" w:afterAutospacing="0" w:line="500" w:lineRule="atLeast"/>
        <w:ind w:left="0" w:right="0" w:firstLine="48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（一）本人报名表（在报名系统自行下载打印一式两份，并贴上与网上报名时上传照片一致的近期1寸正面冠标准照片）；</w:t>
      </w:r>
    </w:p>
    <w:p>
      <w:pPr>
        <w:keepNext w:val="0"/>
        <w:keepLines w:val="0"/>
        <w:widowControl/>
        <w:suppressLineNumbers w:val="0"/>
        <w:spacing w:before="0" w:beforeAutospacing="0" w:after="0" w:afterAutospacing="0" w:line="500" w:lineRule="atLeast"/>
        <w:ind w:left="0" w:right="0" w:firstLine="48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（二）本人有效身份证、毕业证、学位证、教师资格证、普通话水平测试等级证书；</w:t>
      </w:r>
    </w:p>
    <w:p>
      <w:pPr>
        <w:keepNext w:val="0"/>
        <w:keepLines w:val="0"/>
        <w:widowControl/>
        <w:suppressLineNumbers w:val="0"/>
        <w:spacing w:before="0" w:beforeAutospacing="0" w:after="0" w:afterAutospacing="0" w:line="500" w:lineRule="atLeast"/>
        <w:ind w:left="0" w:right="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   （三）工作单位同意报考证明。</w:t>
      </w:r>
    </w:p>
    <w:p>
      <w:pPr>
        <w:keepNext w:val="0"/>
        <w:keepLines w:val="0"/>
        <w:widowControl/>
        <w:suppressLineNumbers w:val="0"/>
        <w:spacing w:before="0" w:beforeAutospacing="0" w:after="0" w:afterAutospacing="0" w:line="500" w:lineRule="atLeast"/>
        <w:ind w:left="0" w:right="0" w:firstLine="48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注：以上资格复审材料需递交原件验证，同时提交A4纸复印件各1份(按以上顺序装订成册,并附材料目录）。</w:t>
      </w:r>
    </w:p>
    <w:p>
      <w:pPr>
        <w:keepNext w:val="0"/>
        <w:keepLines w:val="0"/>
        <w:widowControl/>
        <w:suppressLineNumbers w:val="0"/>
        <w:spacing w:before="0" w:beforeAutospacing="0" w:after="0" w:afterAutospacing="0" w:line="500" w:lineRule="atLeast"/>
        <w:ind w:left="0" w:right="0" w:firstLine="64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五、资格复审注意事项</w:t>
      </w:r>
    </w:p>
    <w:p>
      <w:pPr>
        <w:keepNext w:val="0"/>
        <w:keepLines w:val="0"/>
        <w:widowControl/>
        <w:suppressLineNumbers w:val="0"/>
        <w:spacing w:before="0" w:beforeAutospacing="0" w:after="0" w:afterAutospacing="0" w:line="500" w:lineRule="atLeast"/>
        <w:ind w:left="0" w:right="0" w:firstLine="48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（一）报考人员必须对提交的纸质材料和网上填报信息的真实性负全部责任 。</w:t>
      </w:r>
    </w:p>
    <w:p>
      <w:pPr>
        <w:keepNext w:val="0"/>
        <w:keepLines w:val="0"/>
        <w:widowControl/>
        <w:suppressLineNumbers w:val="0"/>
        <w:spacing w:before="0" w:beforeAutospacing="0" w:after="0" w:afterAutospacing="0" w:line="500" w:lineRule="atLeast"/>
        <w:ind w:left="0" w:right="0" w:firstLine="48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（二）资格复审中发现报考人员不符合招聘条件，或纸质材料原件、复印件与网上的填报信息不一致，将取消报考资格，所有责任由报考人员本人承担。</w:t>
      </w:r>
    </w:p>
    <w:p>
      <w:pPr>
        <w:keepNext w:val="0"/>
        <w:keepLines w:val="0"/>
        <w:widowControl/>
        <w:suppressLineNumbers w:val="0"/>
        <w:spacing w:before="0" w:beforeAutospacing="0" w:after="0" w:afterAutospacing="0" w:line="500" w:lineRule="atLeast"/>
        <w:ind w:left="0" w:right="0" w:firstLine="48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（三）凡资格复审期间原则上未到场参加资格复审的报考人员，视为自动放弃报考资格，不得进入招聘的下一步程序 。</w:t>
      </w:r>
    </w:p>
    <w:p>
      <w:pPr>
        <w:keepNext w:val="0"/>
        <w:keepLines w:val="0"/>
        <w:widowControl/>
        <w:suppressLineNumbers w:val="0"/>
        <w:spacing w:before="0" w:beforeAutospacing="0" w:after="0" w:afterAutospacing="0" w:line="500" w:lineRule="atLeast"/>
        <w:ind w:left="0" w:right="0" w:firstLine="480"/>
        <w:jc w:val="lef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（四）面试、体检等后续工作另行公告，请报考人员密切关注广西中小学教师公开招聘报名系统平台和邕宁区教育局网站公布的相关信息 。</w:t>
      </w:r>
    </w:p>
    <w:p>
      <w:pPr>
        <w:keepNext w:val="0"/>
        <w:keepLines w:val="0"/>
        <w:widowControl/>
        <w:suppressLineNumbers w:val="0"/>
        <w:spacing w:before="0" w:beforeAutospacing="0" w:after="0" w:afterAutospacing="0" w:line="500" w:lineRule="atLeast"/>
        <w:ind w:left="0" w:right="0"/>
        <w:jc w:val="righ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 </w:t>
      </w:r>
    </w:p>
    <w:p>
      <w:pPr>
        <w:keepNext w:val="0"/>
        <w:keepLines w:val="0"/>
        <w:widowControl/>
        <w:suppressLineNumbers w:val="0"/>
        <w:spacing w:before="0" w:beforeAutospacing="0" w:after="0" w:afterAutospacing="0" w:line="500" w:lineRule="atLeast"/>
        <w:ind w:left="0" w:right="0"/>
        <w:jc w:val="right"/>
        <w:rPr>
          <w:rFonts w:hint="default" w:ascii="仿宋" w:hAnsi="仿宋" w:eastAsia="仿宋" w:cs="仿宋"/>
          <w:sz w:val="24"/>
          <w:szCs w:val="24"/>
        </w:rPr>
      </w:pPr>
      <w:r>
        <w:rPr>
          <w:rFonts w:hint="default" w:ascii="仿宋" w:hAnsi="仿宋" w:eastAsia="仿宋" w:cs="仿宋"/>
          <w:color w:val="000000"/>
          <w:kern w:val="0"/>
          <w:sz w:val="24"/>
          <w:szCs w:val="24"/>
          <w:bdr w:val="none" w:color="auto" w:sz="0" w:space="0"/>
          <w:shd w:val="clear" w:fill="FFFFFF"/>
          <w:lang w:val="en-US" w:eastAsia="zh-CN" w:bidi="ar"/>
        </w:rPr>
        <w:t> </w:t>
      </w:r>
    </w:p>
    <w:tbl>
      <w:tblPr>
        <w:tblW w:w="10718" w:type="dxa"/>
        <w:jc w:val="center"/>
        <w:tblInd w:w="-1206" w:type="dxa"/>
        <w:shd w:val="clear"/>
        <w:tblLayout w:type="fixed"/>
        <w:tblCellMar>
          <w:top w:w="0" w:type="dxa"/>
          <w:left w:w="0" w:type="dxa"/>
          <w:bottom w:w="0" w:type="dxa"/>
          <w:right w:w="0" w:type="dxa"/>
        </w:tblCellMar>
      </w:tblPr>
      <w:tblGrid>
        <w:gridCol w:w="490"/>
        <w:gridCol w:w="719"/>
        <w:gridCol w:w="1357"/>
        <w:gridCol w:w="865"/>
        <w:gridCol w:w="1355"/>
        <w:gridCol w:w="670"/>
        <w:gridCol w:w="556"/>
        <w:gridCol w:w="1095"/>
        <w:gridCol w:w="621"/>
        <w:gridCol w:w="767"/>
        <w:gridCol w:w="1275"/>
        <w:gridCol w:w="948"/>
      </w:tblGrid>
      <w:tr>
        <w:tblPrEx>
          <w:shd w:val="clear"/>
          <w:tblLayout w:type="fixed"/>
          <w:tblCellMar>
            <w:top w:w="0" w:type="dxa"/>
            <w:left w:w="0" w:type="dxa"/>
            <w:bottom w:w="0" w:type="dxa"/>
            <w:right w:w="0" w:type="dxa"/>
          </w:tblCellMar>
        </w:tblPrEx>
        <w:trPr>
          <w:trHeight w:val="479" w:hRule="atLeast"/>
          <w:jc w:val="center"/>
        </w:trPr>
        <w:tc>
          <w:tcPr>
            <w:tcW w:w="10718" w:type="dxa"/>
            <w:gridSpan w:val="12"/>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2016年邕宁区公开招聘中小学教师复征补充面试资格复审入围名单</w:t>
            </w:r>
          </w:p>
        </w:tc>
      </w:tr>
      <w:tr>
        <w:tblPrEx>
          <w:tblLayout w:type="fixed"/>
          <w:tblCellMar>
            <w:top w:w="0" w:type="dxa"/>
            <w:left w:w="0" w:type="dxa"/>
            <w:bottom w:w="0" w:type="dxa"/>
            <w:right w:w="0" w:type="dxa"/>
          </w:tblCellMar>
        </w:tblPrEx>
        <w:trPr>
          <w:trHeight w:val="934" w:hRule="atLeast"/>
          <w:jc w:val="center"/>
        </w:trPr>
        <w:tc>
          <w:tcPr>
            <w:tcW w:w="490" w:type="dxa"/>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序号</w:t>
            </w:r>
          </w:p>
        </w:tc>
        <w:tc>
          <w:tcPr>
            <w:tcW w:w="719"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县/区</w:t>
            </w:r>
          </w:p>
        </w:tc>
        <w:tc>
          <w:tcPr>
            <w:tcW w:w="1357"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报考单位</w:t>
            </w:r>
          </w:p>
        </w:tc>
        <w:tc>
          <w:tcPr>
            <w:tcW w:w="865"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报考岗位</w:t>
            </w:r>
          </w:p>
        </w:tc>
        <w:tc>
          <w:tcPr>
            <w:tcW w:w="1355"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岗位代码</w:t>
            </w:r>
          </w:p>
        </w:tc>
        <w:tc>
          <w:tcPr>
            <w:tcW w:w="670"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是否免笔试</w:t>
            </w:r>
          </w:p>
        </w:tc>
        <w:tc>
          <w:tcPr>
            <w:tcW w:w="556"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人数</w:t>
            </w:r>
          </w:p>
        </w:tc>
        <w:tc>
          <w:tcPr>
            <w:tcW w:w="1095"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姓名</w:t>
            </w:r>
          </w:p>
        </w:tc>
        <w:tc>
          <w:tcPr>
            <w:tcW w:w="621"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性别</w:t>
            </w:r>
          </w:p>
        </w:tc>
        <w:tc>
          <w:tcPr>
            <w:tcW w:w="767"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民族</w:t>
            </w:r>
          </w:p>
        </w:tc>
        <w:tc>
          <w:tcPr>
            <w:tcW w:w="1275"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笔试总分或免笔试岗位</w:t>
            </w:r>
          </w:p>
        </w:tc>
        <w:tc>
          <w:tcPr>
            <w:tcW w:w="948"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备注</w:t>
            </w:r>
          </w:p>
        </w:tc>
      </w:tr>
      <w:tr>
        <w:tblPrEx>
          <w:tblLayout w:type="fixed"/>
          <w:tblCellMar>
            <w:top w:w="0" w:type="dxa"/>
            <w:left w:w="0" w:type="dxa"/>
            <w:bottom w:w="0" w:type="dxa"/>
            <w:right w:w="0" w:type="dxa"/>
          </w:tblCellMar>
        </w:tblPrEx>
        <w:trPr>
          <w:trHeight w:val="467" w:hRule="atLeast"/>
          <w:jc w:val="center"/>
        </w:trPr>
        <w:tc>
          <w:tcPr>
            <w:tcW w:w="490" w:type="dxa"/>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w:t>
            </w:r>
          </w:p>
        </w:tc>
        <w:tc>
          <w:tcPr>
            <w:tcW w:w="719" w:type="dxa"/>
            <w:vMerge w:val="restart"/>
            <w:tcBorders>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南宁市邕宁区百济中学</w:t>
            </w:r>
          </w:p>
        </w:tc>
        <w:tc>
          <w:tcPr>
            <w:tcW w:w="865" w:type="dxa"/>
            <w:vMerge w:val="restart"/>
            <w:tcBorders>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中学物理教师</w:t>
            </w:r>
          </w:p>
        </w:tc>
        <w:tc>
          <w:tcPr>
            <w:tcW w:w="1355" w:type="dxa"/>
            <w:vMerge w:val="restart"/>
            <w:tcBorders>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4501090504</w:t>
            </w:r>
          </w:p>
        </w:tc>
        <w:tc>
          <w:tcPr>
            <w:tcW w:w="670" w:type="dxa"/>
            <w:vMerge w:val="restart"/>
            <w:tcBorders>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是</w:t>
            </w:r>
          </w:p>
        </w:tc>
        <w:tc>
          <w:tcPr>
            <w:tcW w:w="556" w:type="dxa"/>
            <w:vMerge w:val="restart"/>
            <w:tcBorders>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w:t>
            </w:r>
          </w:p>
        </w:tc>
        <w:tc>
          <w:tcPr>
            <w:tcW w:w="1095"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曹其莹</w:t>
            </w:r>
          </w:p>
        </w:tc>
        <w:tc>
          <w:tcPr>
            <w:tcW w:w="621"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132.5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2</w:t>
            </w:r>
          </w:p>
        </w:tc>
        <w:tc>
          <w:tcPr>
            <w:tcW w:w="719"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陈杰</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108</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w:t>
            </w:r>
          </w:p>
        </w:tc>
        <w:tc>
          <w:tcPr>
            <w:tcW w:w="719"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蓝冬梅</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w:t>
            </w:r>
          </w:p>
        </w:tc>
        <w:tc>
          <w:tcPr>
            <w:tcW w:w="719"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李明范</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108.5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5</w:t>
            </w:r>
          </w:p>
        </w:tc>
        <w:tc>
          <w:tcPr>
            <w:tcW w:w="719"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梁吉金</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6</w:t>
            </w:r>
          </w:p>
        </w:tc>
        <w:tc>
          <w:tcPr>
            <w:tcW w:w="719"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林辉</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7</w:t>
            </w:r>
          </w:p>
        </w:tc>
        <w:tc>
          <w:tcPr>
            <w:tcW w:w="719"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宁俞华</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107</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w:t>
            </w:r>
          </w:p>
        </w:tc>
        <w:tc>
          <w:tcPr>
            <w:tcW w:w="719"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苏自强</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116.5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w:t>
            </w:r>
          </w:p>
        </w:tc>
        <w:tc>
          <w:tcPr>
            <w:tcW w:w="719"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吴国波</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123.5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南宁市邕宁区百济中学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中学生物教师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4501090508</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是</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雷静</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122</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林娜</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109.5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曾广红</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126.5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南宁市邕宁区百济镇初级中学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中学物理教师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4501090604</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是</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黎秋沙</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0</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韦兰娟</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117.5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15</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张情</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113.5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16</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南宁市邕宁区中和中学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中学数学教师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4501090802</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否</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6</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庞玉梅</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135.5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17</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陈海雲</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127</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18</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梁云</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123</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19</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王海燕</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121</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20</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梁天丽</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117</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21</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罗志生</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114.5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22</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南宁市邕宁区中和中学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中学历史教师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4501090806</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否</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陈梅兰</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147</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23</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李容</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152.5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24</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李秀华</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124</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25</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南宁市邕宁区城关第一小学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小学数学教师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4501091002</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否</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6</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罗科英</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146</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26</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胡小丽</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143</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27</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蓝符英</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瑶族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143</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28</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虞阿丽</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141</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29</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李秋宁</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138.5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30</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沈华</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138</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31</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南宁市邕宁区城关第四小学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小学信息技术教师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4501091204</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否</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劳玉玲</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32</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陆丽荣</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126.5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33</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陆冬梅</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123</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34</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南宁邕宁区蒲庙镇梁村小学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小学数学教师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4501091801</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否</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方兰康</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142</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35</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蔡超连</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135.5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36</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周桂芳</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127.5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37</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南宁市邕宁区那楼镇那盆小学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小学语文教师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4501092501</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是</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32</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班海霞</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101</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38</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陈捷</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116</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39</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陈治媛</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40</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戴彩凤</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124</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41</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黄雪英</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113.5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42</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黄有妹</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115.5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43</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李梅香</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123</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44</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李宛蔓</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124</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梁玮</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102.5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46</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廖丽秋</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47</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林金石</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129.5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48</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刘俐静</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49</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刘媚</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94</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50</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刘指光</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89</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51</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卢静娴</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103.5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52</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卢晓燕</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水族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132</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53</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陆小华</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54</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农林彬</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55</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潘元芳</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106.5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56</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覃晓虹</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110.5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57</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唐婷婷</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侗族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129.5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58</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吴柱琼</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111.5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59</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谢小金</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60</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杨金眉</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110.5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61</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杨生兰</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0</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62</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杨璇</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瑶族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118</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63</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袁媛</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98.5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64</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张莉莉</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95.5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65</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张曼</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104</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66</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张晴</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67</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周炳宏</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68</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周丽明</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108.5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69</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南宁市邕宁区那楼镇那盆小学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小学数学教师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4501092502</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是</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19</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冯生</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92.5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70</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甘泳</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82</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71</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何玉芳</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72</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黎丽勤</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98</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73</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李娜</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131</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74</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李雪桂</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92</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75</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刘佳</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92.5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76</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苏敬文</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119.5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77</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覃春媚</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116.5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78</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唐美欢</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79</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王助霞</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119.5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80</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韦金锋</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119</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81</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谢国芳</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126</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82</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徐冬雪</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107.5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83</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颜明海</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114.5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84</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颜艳艳</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107</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85</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杨海竹</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85.5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86</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尤莉莉</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瑶族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116.5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87</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张俊华</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88</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南宁市邕宁区那楼镇棠梨小学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小学数学教师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4501092702</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是</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陈亮先</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141</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89</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陈小燕</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129.5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90</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甘艳尼</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107</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91</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蒙柳萍</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瑶族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77</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92</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莫胜南</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110</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93</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王德霞</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96.5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94</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韦丽芳</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95</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吴进业</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110</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96</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谢艳雷</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仫佬族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97</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杨爱英</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98</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南宁市邕宁区那楼镇那丰小学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小学语文教师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4501092801</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是</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卜燕君</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97</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99</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邓青青</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109</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100</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何剑</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104.5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101</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何丽萍</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102</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蒋美</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103</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梁晶晶</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111.5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104</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凌秋凤</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88.5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105</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韦陈萍</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110</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106</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巫黎冰</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瑶族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110.5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107</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周亚林</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114</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108</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周艳玲</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118.5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109</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南宁市邕宁区中和乡那例小学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小学音乐教师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4501093001</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是</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陈菲儿</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96.5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110</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黄梦欣</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112.5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111</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李玲</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93</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112</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梁海霞</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111</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113</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陆春艳</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114</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罗娟</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115</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苏洲禾</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116</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唐敏灵</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115.5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117</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滕振娟</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118</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梁丽婵</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116</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119</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杨小凤</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120</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南宁市邕宁区中和乡那才小学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小学语文教师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4501093101</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是</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蔡依玲</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88</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121</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何春恒</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122</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黄锻玲</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123</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黄认华</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124</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黄榕敏</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114.5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125</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黄雁玲</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109.5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126</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李心怡</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101</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127</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梁莉萦</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89.5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128</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梁秋云</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129</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潘静宜</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130</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韦静思</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131</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杨小莹</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93</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132</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钟坚</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95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7"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133</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朱日坤</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109.5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9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134</w:t>
            </w:r>
          </w:p>
        </w:tc>
        <w:tc>
          <w:tcPr>
            <w:tcW w:w="719"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w:t>
            </w:r>
          </w:p>
        </w:tc>
        <w:tc>
          <w:tcPr>
            <w:tcW w:w="1357"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南宁市邕宁区中和乡方村小学</w:t>
            </w:r>
          </w:p>
        </w:tc>
        <w:tc>
          <w:tcPr>
            <w:tcW w:w="86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小学语文教师</w:t>
            </w:r>
          </w:p>
        </w:tc>
        <w:tc>
          <w:tcPr>
            <w:tcW w:w="1355"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4501093303</w:t>
            </w:r>
          </w:p>
        </w:tc>
        <w:tc>
          <w:tcPr>
            <w:tcW w:w="670"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是</w:t>
            </w:r>
          </w:p>
        </w:tc>
        <w:tc>
          <w:tcPr>
            <w:tcW w:w="556" w:type="dxa"/>
            <w:vMerge w:val="restart"/>
            <w:tcBorders>
              <w:top w:val="nil"/>
              <w:bottom w:val="single" w:color="000000" w:sz="4" w:space="0"/>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w:t>
            </w: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陈妍君</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9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135</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方镇文</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男</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9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136</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符春燕</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112.5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9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137</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何玲春</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107.5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9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138</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黄恩恩</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128.5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9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139</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黄金兰</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81.5</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9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140</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李毓娟</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9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141</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梁月桃</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壮族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140</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9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142</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龙玉莲</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109</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9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143</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罗秀连</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9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144</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阮媛梅</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103</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9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145</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韦美妃</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免笔试岗位</w:t>
            </w:r>
          </w:p>
        </w:tc>
        <w:tc>
          <w:tcPr>
            <w:tcW w:w="948"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04" w:hRule="atLeast"/>
          <w:jc w:val="center"/>
        </w:trPr>
        <w:tc>
          <w:tcPr>
            <w:tcW w:w="490" w:type="dxa"/>
            <w:tcBorders>
              <w:top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146</w:t>
            </w:r>
          </w:p>
        </w:tc>
        <w:tc>
          <w:tcPr>
            <w:tcW w:w="719"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7"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86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355"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670"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556" w:type="dxa"/>
            <w:vMerge w:val="continue"/>
            <w:tcBorders>
              <w:top w:val="nil"/>
              <w:bottom w:val="single" w:color="000000" w:sz="4" w:space="0"/>
            </w:tcBorders>
            <w:shd w:val="clear"/>
            <w:vAlign w:val="center"/>
          </w:tcPr>
          <w:p>
            <w:pPr>
              <w:jc w:val="center"/>
              <w:rPr>
                <w:rFonts w:hint="default" w:ascii="仿宋" w:hAnsi="仿宋" w:eastAsia="仿宋" w:cs="仿宋"/>
                <w:color w:val="000000"/>
                <w:sz w:val="24"/>
                <w:szCs w:val="24"/>
              </w:rPr>
            </w:pPr>
          </w:p>
        </w:tc>
        <w:tc>
          <w:tcPr>
            <w:tcW w:w="109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邹坤芳</w:t>
            </w:r>
          </w:p>
        </w:tc>
        <w:tc>
          <w:tcPr>
            <w:tcW w:w="621"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女</w:t>
            </w:r>
          </w:p>
        </w:tc>
        <w:tc>
          <w:tcPr>
            <w:tcW w:w="767"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汉族</w:t>
            </w:r>
          </w:p>
        </w:tc>
        <w:tc>
          <w:tcPr>
            <w:tcW w:w="1275" w:type="dxa"/>
            <w:tcBorders>
              <w:top w:val="nil"/>
              <w:left w:val="nil"/>
            </w:tcBorders>
            <w:shd w:val="clear"/>
            <w:vAlign w:val="center"/>
          </w:tcPr>
          <w:p>
            <w:pPr>
              <w:keepNext w:val="0"/>
              <w:keepLines w:val="0"/>
              <w:widowControl/>
              <w:suppressLineNumbers w:val="0"/>
              <w:spacing w:line="360" w:lineRule="auto"/>
              <w:jc w:val="center"/>
              <w:rPr>
                <w:rFonts w:hint="default" w:ascii="仿宋" w:hAnsi="仿宋" w:eastAsia="仿宋" w:cs="仿宋"/>
                <w:color w:val="000000"/>
                <w:sz w:val="24"/>
                <w:szCs w:val="24"/>
              </w:rPr>
            </w:pPr>
            <w:r>
              <w:rPr>
                <w:rFonts w:hint="default" w:ascii="仿宋" w:hAnsi="仿宋" w:eastAsia="仿宋" w:cs="仿宋"/>
                <w:color w:val="000000"/>
                <w:kern w:val="0"/>
                <w:sz w:val="24"/>
                <w:szCs w:val="24"/>
                <w:bdr w:val="none" w:color="auto" w:sz="0" w:space="0"/>
                <w:lang w:val="en-US" w:eastAsia="zh-CN" w:bidi="ar"/>
              </w:rPr>
              <w:t>109.5</w:t>
            </w:r>
          </w:p>
        </w:tc>
        <w:tc>
          <w:tcPr>
            <w:tcW w:w="948" w:type="dxa"/>
            <w:shd w:val="clear"/>
            <w:vAlign w:val="center"/>
          </w:tcPr>
          <w:p>
            <w:pPr>
              <w:rPr>
                <w:rFonts w:hint="default" w:ascii="仿宋" w:hAnsi="仿宋" w:eastAsia="仿宋" w:cs="仿宋"/>
                <w:color w:val="000000"/>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小标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仿宋_GB2312"/>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086A96"/>
    <w:rsid w:val="62086A9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rFonts w:hint="eastAsia" w:ascii="宋体" w:hAnsi="宋体" w:eastAsia="宋体" w:cs="宋体"/>
      <w:color w:val="FF0000"/>
      <w:kern w:val="0"/>
      <w:sz w:val="18"/>
      <w:szCs w:val="18"/>
      <w:u w:val="single"/>
      <w:lang w:val="en-US" w:eastAsia="zh-CN" w:bidi="ar"/>
    </w:rPr>
  </w:style>
  <w:style w:type="character" w:styleId="4">
    <w:name w:val="Strong"/>
    <w:basedOn w:val="3"/>
    <w:qFormat/>
    <w:uiPriority w:val="0"/>
    <w:rPr>
      <w:b/>
    </w:rPr>
  </w:style>
  <w:style w:type="character" w:styleId="5">
    <w:name w:val="FollowedHyperlink"/>
    <w:basedOn w:val="3"/>
    <w:uiPriority w:val="0"/>
    <w:rPr>
      <w:rFonts w:hint="eastAsia" w:ascii="宋体" w:hAnsi="宋体" w:eastAsia="宋体" w:cs="宋体"/>
      <w:color w:val="000000"/>
      <w:sz w:val="18"/>
      <w:szCs w:val="18"/>
      <w:u w:val="none"/>
    </w:rPr>
  </w:style>
  <w:style w:type="character" w:styleId="6">
    <w:name w:val="Hyperlink"/>
    <w:basedOn w:val="3"/>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2016-08-17T03:32:00Z</dcterms:created>
  <dc:creator>Administrator</dc:creator>
  <cp:lastModifiedBy>Administrator</cp:lastModifiedBy>
  <dcterms:modified xsi:type="dcterms:W3CDTF">2016-08-17T03:39:01Z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