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附件：</w:t>
      </w:r>
    </w:p>
    <w:p>
      <w:pPr>
        <w:widowControl/>
        <w:spacing w:line="360" w:lineRule="auto"/>
        <w:ind w:right="336" w:rightChars="160"/>
        <w:jc w:val="center"/>
        <w:rPr>
          <w:rFonts w:hint="eastAsia" w:ascii="方正小标宋简体" w:hAnsi="宋体" w:eastAsia="方正小标宋简体" w:cs="宋体"/>
          <w:bCs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  <w:lang w:eastAsia="zh-CN"/>
        </w:rPr>
        <w:t>平阳县</w:t>
      </w: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</w:rPr>
        <w:t>提前招聘20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</w:rPr>
        <w:t>17届优秀毕业生岗位计划表</w:t>
      </w:r>
    </w:p>
    <w:tbl>
      <w:tblPr>
        <w:tblStyle w:val="6"/>
        <w:tblW w:w="9879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49"/>
        <w:gridCol w:w="3478"/>
        <w:gridCol w:w="44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2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引进岗位</w:t>
            </w:r>
          </w:p>
        </w:tc>
        <w:tc>
          <w:tcPr>
            <w:tcW w:w="3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就业去向及招聘人数</w:t>
            </w:r>
          </w:p>
        </w:tc>
        <w:tc>
          <w:tcPr>
            <w:tcW w:w="4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高中语文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平阳中学1人；平阳二中1人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高中数学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平阳中学1人；平阳二中1人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高中英语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平阳中学1人；鳌江中学1人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高中政治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平阳中学1人；平阳二中1人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高中历史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平阳中学1人；平阳二中1人；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鳌江中学1人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高中地理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平阳中学1人；鳌江中学1人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高中生物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高中化学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平阳中学1人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初中语文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昆阳三中1人，水头二中1人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初中数学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县实验中学1人；鳌江四中1人；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昆阳三中1人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</w:tblPrEx>
        <w:trPr>
          <w:trHeight w:val="46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初中英语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昆阳二中1人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初中科学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鳌江三中1人；水头一中1人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专业：科学、物理、化学、生物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初中社会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县实验中学1人；昆阳二中1人；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鳌江四中1人；鳌江三中1人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小学语文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鳌江一小1人；水头二小1人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小学数学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平阳县小2人；昆阳一小1人；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小学科学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昆阳一小1人；昆阳二小1人；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鳌江一小1人；鳌江小学2人；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鳌江实验小学1人；水头一小1人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专业：科学、物理、化学、生物</w:t>
            </w:r>
          </w:p>
        </w:tc>
      </w:tr>
      <w:tr>
        <w:tblPrEx>
          <w:tblLayout w:type="fixed"/>
        </w:tblPrEx>
        <w:trPr>
          <w:trHeight w:val="49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小学信息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昆阳二小1人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汽修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平阳职专2人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汽车维修工程教育、车辆工程、汽车服务工程等相关专业；户籍不限、教师资格证放宽至两年内获得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平阳职专1人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机械设计及自动化、机械工艺技术、数控技术及应用、数控加工等相关专业；户籍不限、教师资格证放宽至两年内获得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市场营销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平阳二职1人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户籍不限、教师资格证放宽至两年内获得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电子商务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平阳二职1人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温州户籍、教师资格证放宽至两年内获得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财务会计</w:t>
            </w:r>
          </w:p>
        </w:tc>
        <w:tc>
          <w:tcPr>
            <w:tcW w:w="34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平阳二职1人</w:t>
            </w:r>
          </w:p>
        </w:tc>
        <w:tc>
          <w:tcPr>
            <w:tcW w:w="4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温州户籍、教师资格证放宽至两年内获得</w:t>
            </w:r>
          </w:p>
        </w:tc>
      </w:tr>
    </w:tbl>
    <w:p>
      <w:pPr>
        <w:widowControl/>
        <w:adjustRightInd w:val="0"/>
        <w:spacing w:line="600" w:lineRule="exact"/>
        <w:rPr>
          <w:rFonts w:ascii="宋体" w:hAnsi="宋体" w:cs="宋体"/>
          <w:color w:val="000000"/>
          <w:kern w:val="0"/>
          <w:szCs w:val="21"/>
        </w:rPr>
        <w:sectPr>
          <w:footerReference r:id="rId3" w:type="default"/>
          <w:footerReference r:id="rId4" w:type="even"/>
          <w:pgSz w:w="11906" w:h="16838"/>
          <w:pgMar w:top="1701" w:right="1474" w:bottom="1418" w:left="1588" w:header="851" w:footer="964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2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2604F"/>
    <w:rsid w:val="064260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link w:val="4"/>
    <w:semiHidden/>
    <w:uiPriority w:val="0"/>
    <w:rPr>
      <w:szCs w:val="24"/>
    </w:rPr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 Char"/>
    <w:basedOn w:val="1"/>
    <w:link w:val="3"/>
    <w:qFormat/>
    <w:uiPriority w:val="0"/>
    <w:rPr>
      <w:szCs w:val="24"/>
    </w:r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2016-11-29T08:42:00Z</dcterms:created>
  <dc:creator>Administrator</dc:creator>
  <cp:lastModifiedBy>Administrator</cp:lastModifiedBy>
  <dcterms:modified xsi:type="dcterms:W3CDTF">2016-11-29T08:42:20Z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