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31680" w:firstLineChars="198"/>
        <w:jc w:val="center"/>
        <w:rPr>
          <w:rFonts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sz w:val="36"/>
          <w:szCs w:val="36"/>
        </w:rPr>
        <w:t>苏州市相城区简介</w:t>
      </w:r>
    </w:p>
    <w:p>
      <w:pPr>
        <w:spacing w:line="520" w:lineRule="exact"/>
        <w:ind w:firstLine="31680" w:firstLineChars="198"/>
        <w:jc w:val="center"/>
        <w:rPr>
          <w:rFonts w:ascii="仿宋_GB2312" w:eastAsia="仿宋_GB2312"/>
          <w:b/>
          <w:bCs/>
          <w:sz w:val="36"/>
          <w:szCs w:val="36"/>
        </w:rPr>
      </w:pPr>
    </w:p>
    <w:p>
      <w:pPr>
        <w:spacing w:line="520" w:lineRule="exact"/>
        <w:ind w:firstLine="3168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苏州市相城区位于苏州古城区北部，面积</w:t>
      </w:r>
      <w:r>
        <w:rPr>
          <w:rFonts w:ascii="仿宋_GB2312" w:eastAsia="仿宋_GB2312" w:cs="仿宋_GB2312"/>
          <w:sz w:val="32"/>
          <w:szCs w:val="32"/>
        </w:rPr>
        <w:t>490</w:t>
      </w:r>
      <w:r>
        <w:rPr>
          <w:rFonts w:hint="eastAsia" w:ascii="仿宋_GB2312" w:eastAsia="仿宋_GB2312" w:cs="仿宋_GB2312"/>
          <w:sz w:val="32"/>
          <w:szCs w:val="32"/>
        </w:rPr>
        <w:t>平方公里，下辖</w:t>
      </w:r>
      <w:r>
        <w:rPr>
          <w:rFonts w:ascii="仿宋_GB2312" w:eastAsia="仿宋_GB2312" w:cs="仿宋_GB2312"/>
          <w:sz w:val="32"/>
          <w:szCs w:val="32"/>
        </w:rPr>
        <w:t>6</w:t>
      </w:r>
      <w:r>
        <w:rPr>
          <w:rFonts w:hint="eastAsia" w:ascii="仿宋_GB2312" w:eastAsia="仿宋_GB2312" w:cs="仿宋_GB2312"/>
          <w:sz w:val="32"/>
          <w:szCs w:val="32"/>
        </w:rPr>
        <w:t>个街道、</w:t>
      </w:r>
      <w:r>
        <w:rPr>
          <w:rFonts w:ascii="仿宋_GB2312" w:eastAsia="仿宋_GB2312" w:cs="仿宋_GB2312"/>
          <w:sz w:val="32"/>
          <w:szCs w:val="32"/>
        </w:rPr>
        <w:t>4</w:t>
      </w:r>
      <w:r>
        <w:rPr>
          <w:rFonts w:hint="eastAsia" w:ascii="仿宋_GB2312" w:eastAsia="仿宋_GB2312" w:cs="仿宋_GB2312"/>
          <w:sz w:val="32"/>
          <w:szCs w:val="32"/>
        </w:rPr>
        <w:t>个镇、</w:t>
      </w:r>
      <w:r>
        <w:rPr>
          <w:rFonts w:ascii="仿宋_GB2312" w:eastAsia="仿宋_GB2312" w:cs="仿宋_GB2312"/>
          <w:sz w:val="32"/>
          <w:szCs w:val="32"/>
        </w:rPr>
        <w:t>1</w:t>
      </w:r>
      <w:r>
        <w:rPr>
          <w:rFonts w:hint="eastAsia" w:ascii="仿宋_GB2312" w:eastAsia="仿宋_GB2312" w:cs="仿宋_GB2312"/>
          <w:sz w:val="32"/>
          <w:szCs w:val="32"/>
        </w:rPr>
        <w:t>个国家级经济技术开发区、</w:t>
      </w:r>
      <w:r>
        <w:rPr>
          <w:rFonts w:ascii="仿宋_GB2312" w:eastAsia="仿宋_GB2312" w:cs="仿宋_GB2312"/>
          <w:sz w:val="32"/>
          <w:szCs w:val="32"/>
        </w:rPr>
        <w:t>1</w:t>
      </w:r>
      <w:r>
        <w:rPr>
          <w:rFonts w:hint="eastAsia" w:ascii="仿宋_GB2312" w:eastAsia="仿宋_GB2312" w:cs="仿宋_GB2312"/>
          <w:sz w:val="32"/>
          <w:szCs w:val="32"/>
        </w:rPr>
        <w:t>个高铁新城和</w:t>
      </w:r>
      <w:r>
        <w:rPr>
          <w:rFonts w:ascii="仿宋_GB2312" w:eastAsia="仿宋_GB2312" w:cs="仿宋_GB2312"/>
          <w:sz w:val="32"/>
          <w:szCs w:val="32"/>
        </w:rPr>
        <w:t>1</w:t>
      </w:r>
      <w:r>
        <w:rPr>
          <w:rFonts w:hint="eastAsia" w:ascii="仿宋_GB2312" w:eastAsia="仿宋_GB2312" w:cs="仿宋_GB2312"/>
          <w:sz w:val="32"/>
          <w:szCs w:val="32"/>
        </w:rPr>
        <w:t>个省级旅游度假区，常住人口</w:t>
      </w:r>
      <w:r>
        <w:rPr>
          <w:rFonts w:ascii="仿宋_GB2312" w:eastAsia="仿宋_GB2312" w:cs="仿宋_GB2312"/>
          <w:sz w:val="32"/>
          <w:szCs w:val="32"/>
        </w:rPr>
        <w:t>83</w:t>
      </w:r>
      <w:r>
        <w:rPr>
          <w:rFonts w:hint="eastAsia" w:ascii="仿宋_GB2312" w:eastAsia="仿宋_GB2312" w:cs="仿宋_GB2312"/>
          <w:sz w:val="32"/>
          <w:szCs w:val="32"/>
        </w:rPr>
        <w:t>万。相城区区位优势明显，交通发达，是长三角重要的交通门户。沪宁城际、沪宁高速、常嘉杭高速等贯穿境内，京沪高铁苏州站设在相城区，苏州轨道交通</w:t>
      </w:r>
      <w:r>
        <w:rPr>
          <w:rFonts w:ascii="仿宋_GB2312" w:eastAsia="仿宋_GB2312" w:cs="仿宋_GB2312"/>
          <w:sz w:val="32"/>
          <w:szCs w:val="32"/>
        </w:rPr>
        <w:t>2</w:t>
      </w:r>
      <w:r>
        <w:rPr>
          <w:rFonts w:hint="eastAsia" w:ascii="仿宋_GB2312" w:eastAsia="仿宋_GB2312" w:cs="仿宋_GB2312"/>
          <w:sz w:val="32"/>
          <w:szCs w:val="32"/>
        </w:rPr>
        <w:t>号线、</w:t>
      </w:r>
      <w:r>
        <w:rPr>
          <w:rFonts w:ascii="仿宋_GB2312" w:eastAsia="仿宋_GB2312" w:cs="仿宋_GB2312"/>
          <w:sz w:val="32"/>
          <w:szCs w:val="32"/>
        </w:rPr>
        <w:t>4</w:t>
      </w:r>
      <w:r>
        <w:rPr>
          <w:rFonts w:hint="eastAsia" w:ascii="仿宋_GB2312" w:eastAsia="仿宋_GB2312" w:cs="仿宋_GB2312"/>
          <w:sz w:val="32"/>
          <w:szCs w:val="32"/>
        </w:rPr>
        <w:t>号线直达本区。</w:t>
      </w:r>
    </w:p>
    <w:p>
      <w:pPr>
        <w:spacing w:line="520" w:lineRule="exact"/>
        <w:ind w:firstLine="3168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目前，相城区有独立建制公办中小学</w:t>
      </w:r>
      <w:r>
        <w:rPr>
          <w:rFonts w:ascii="仿宋_GB2312" w:hAnsi="宋体" w:eastAsia="仿宋_GB2312" w:cs="仿宋_GB2312"/>
          <w:sz w:val="32"/>
          <w:szCs w:val="32"/>
        </w:rPr>
        <w:t>31</w:t>
      </w:r>
      <w:r>
        <w:rPr>
          <w:rFonts w:hint="eastAsia" w:ascii="仿宋_GB2312" w:hAnsi="宋体" w:eastAsia="仿宋_GB2312" w:cs="仿宋_GB2312"/>
          <w:sz w:val="32"/>
          <w:szCs w:val="32"/>
        </w:rPr>
        <w:t>所（其中，小学</w:t>
      </w:r>
      <w:r>
        <w:rPr>
          <w:rFonts w:ascii="仿宋_GB2312" w:hAnsi="宋体" w:eastAsia="仿宋_GB2312" w:cs="仿宋_GB2312"/>
          <w:sz w:val="32"/>
          <w:szCs w:val="32"/>
        </w:rPr>
        <w:t>15</w:t>
      </w:r>
      <w:r>
        <w:rPr>
          <w:rFonts w:hint="eastAsia" w:ascii="仿宋_GB2312" w:hAnsi="宋体" w:eastAsia="仿宋_GB2312" w:cs="仿宋_GB2312"/>
          <w:sz w:val="32"/>
          <w:szCs w:val="32"/>
        </w:rPr>
        <w:t>所、初中</w:t>
      </w:r>
      <w:r>
        <w:rPr>
          <w:rFonts w:ascii="仿宋_GB2312" w:hAnsi="宋体" w:eastAsia="仿宋_GB2312" w:cs="仿宋_GB2312"/>
          <w:sz w:val="32"/>
          <w:szCs w:val="32"/>
        </w:rPr>
        <w:t>9</w:t>
      </w:r>
      <w:r>
        <w:rPr>
          <w:rFonts w:hint="eastAsia" w:ascii="仿宋_GB2312" w:hAnsi="宋体" w:eastAsia="仿宋_GB2312" w:cs="仿宋_GB2312"/>
          <w:sz w:val="32"/>
          <w:szCs w:val="32"/>
        </w:rPr>
        <w:t>所、完中</w:t>
      </w:r>
      <w:r>
        <w:rPr>
          <w:rFonts w:ascii="仿宋_GB2312" w:hAnsi="宋体" w:eastAsia="仿宋_GB2312" w:cs="仿宋_GB2312"/>
          <w:sz w:val="32"/>
          <w:szCs w:val="32"/>
        </w:rPr>
        <w:t>1</w:t>
      </w:r>
      <w:r>
        <w:rPr>
          <w:rFonts w:hint="eastAsia" w:ascii="仿宋_GB2312" w:hAnsi="宋体" w:eastAsia="仿宋_GB2312" w:cs="仿宋_GB2312"/>
          <w:sz w:val="32"/>
          <w:szCs w:val="32"/>
        </w:rPr>
        <w:t>所、高中</w:t>
      </w:r>
      <w:r>
        <w:rPr>
          <w:rFonts w:ascii="仿宋_GB2312" w:hAnsi="宋体" w:eastAsia="仿宋_GB2312" w:cs="仿宋_GB2312"/>
          <w:sz w:val="32"/>
          <w:szCs w:val="32"/>
        </w:rPr>
        <w:t>2</w:t>
      </w:r>
      <w:r>
        <w:rPr>
          <w:rFonts w:hint="eastAsia" w:ascii="仿宋_GB2312" w:hAnsi="宋体" w:eastAsia="仿宋_GB2312" w:cs="仿宋_GB2312"/>
          <w:sz w:val="32"/>
          <w:szCs w:val="32"/>
        </w:rPr>
        <w:t>所、中等专业学校</w:t>
      </w:r>
      <w:r>
        <w:rPr>
          <w:rFonts w:ascii="仿宋_GB2312" w:hAnsi="宋体" w:eastAsia="仿宋_GB2312" w:cs="仿宋_GB2312"/>
          <w:sz w:val="32"/>
          <w:szCs w:val="32"/>
        </w:rPr>
        <w:t>1</w:t>
      </w:r>
      <w:r>
        <w:rPr>
          <w:rFonts w:hint="eastAsia" w:ascii="仿宋_GB2312" w:hAnsi="宋体" w:eastAsia="仿宋_GB2312" w:cs="仿宋_GB2312"/>
          <w:sz w:val="32"/>
          <w:szCs w:val="32"/>
        </w:rPr>
        <w:t>所、特殊教育学校</w:t>
      </w:r>
      <w:r>
        <w:rPr>
          <w:rFonts w:ascii="仿宋_GB2312" w:hAnsi="宋体" w:eastAsia="仿宋_GB2312" w:cs="仿宋_GB2312"/>
          <w:sz w:val="32"/>
          <w:szCs w:val="32"/>
        </w:rPr>
        <w:t>1</w:t>
      </w:r>
      <w:r>
        <w:rPr>
          <w:rFonts w:hint="eastAsia" w:ascii="仿宋_GB2312" w:hAnsi="宋体" w:eastAsia="仿宋_GB2312" w:cs="仿宋_GB2312"/>
          <w:sz w:val="32"/>
          <w:szCs w:val="32"/>
        </w:rPr>
        <w:t>所，九年一贯制学校</w:t>
      </w:r>
      <w:r>
        <w:rPr>
          <w:rFonts w:ascii="仿宋_GB2312" w:hAnsi="宋体" w:eastAsia="仿宋_GB2312" w:cs="仿宋_GB2312"/>
          <w:sz w:val="32"/>
          <w:szCs w:val="32"/>
        </w:rPr>
        <w:t>2</w:t>
      </w:r>
      <w:r>
        <w:rPr>
          <w:rFonts w:hint="eastAsia" w:ascii="仿宋_GB2312" w:hAnsi="宋体" w:eastAsia="仿宋_GB2312" w:cs="仿宋_GB2312"/>
          <w:sz w:val="32"/>
          <w:szCs w:val="32"/>
        </w:rPr>
        <w:t>所），还有独立建制公办幼儿园</w:t>
      </w:r>
      <w:r>
        <w:rPr>
          <w:rFonts w:ascii="仿宋_GB2312" w:hAnsi="宋体" w:eastAsia="仿宋_GB2312" w:cs="仿宋_GB2312"/>
          <w:sz w:val="32"/>
          <w:szCs w:val="32"/>
        </w:rPr>
        <w:t>16</w:t>
      </w:r>
      <w:r>
        <w:rPr>
          <w:rFonts w:hint="eastAsia" w:ascii="仿宋_GB2312" w:hAnsi="宋体" w:eastAsia="仿宋_GB2312" w:cs="仿宋_GB2312"/>
          <w:sz w:val="32"/>
          <w:szCs w:val="32"/>
        </w:rPr>
        <w:t>所，共有在校（园）学生</w:t>
      </w:r>
      <w:r>
        <w:rPr>
          <w:rFonts w:ascii="仿宋_GB2312" w:hAnsi="宋体" w:eastAsia="仿宋_GB2312" w:cs="仿宋_GB2312"/>
          <w:sz w:val="32"/>
          <w:szCs w:val="32"/>
        </w:rPr>
        <w:t>7.3</w:t>
      </w:r>
      <w:r>
        <w:rPr>
          <w:rFonts w:hint="eastAsia" w:ascii="仿宋_GB2312" w:hAnsi="宋体" w:eastAsia="仿宋_GB2312" w:cs="仿宋_GB2312"/>
          <w:sz w:val="32"/>
          <w:szCs w:val="32"/>
        </w:rPr>
        <w:t>万余名。</w:t>
      </w:r>
    </w:p>
    <w:p>
      <w:pPr>
        <w:spacing w:line="520" w:lineRule="exact"/>
        <w:ind w:firstLine="3168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相城区委、区政府高度重视教育，深化改革创新，教育事业实现了跨越式发展。幼儿园江苏省优质园比例、义务教育学校苏州市教育现代化学校比例、高中段学校江苏省优质学校比例均为</w:t>
      </w:r>
      <w:r>
        <w:rPr>
          <w:rFonts w:ascii="仿宋_GB2312" w:eastAsia="仿宋_GB2312" w:cs="仿宋_GB2312"/>
          <w:sz w:val="32"/>
          <w:szCs w:val="32"/>
        </w:rPr>
        <w:t>100%</w:t>
      </w:r>
      <w:r>
        <w:rPr>
          <w:rFonts w:hint="eastAsia" w:ascii="仿宋_GB2312" w:eastAsia="仿宋_GB2312" w:cs="仿宋_GB2312"/>
          <w:sz w:val="32"/>
          <w:szCs w:val="32"/>
        </w:rPr>
        <w:t>。先后获得江苏省教育现代化建设先进区、江苏省普及高中阶段教育先进区、江苏省义务教育均衡发展先进区、江苏省幼儿教育先进区等多项荣誉称号。</w:t>
      </w:r>
    </w:p>
    <w:p>
      <w:pPr>
        <w:pStyle w:val="6"/>
        <w:spacing w:line="330" w:lineRule="atLeast"/>
        <w:ind w:firstLine="31680" w:firstLineChars="200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走教育现代化发展之路，办好每一所学校，教好每一个学生，发展好每一位教师，办人民满意的教育，成为了相城教育的主流。</w:t>
      </w:r>
    </w:p>
    <w:p>
      <w:pPr>
        <w:spacing w:line="520" w:lineRule="exact"/>
        <w:ind w:firstLine="3168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相城发展潜力无穷，诚邀广大优秀毕业生加入苏州相城教师团！</w:t>
      </w:r>
    </w:p>
    <w:p>
      <w:pPr>
        <w:spacing w:line="520" w:lineRule="exact"/>
        <w:ind w:firstLine="31680" w:firstLineChars="200"/>
        <w:jc w:val="center"/>
        <w:rPr>
          <w:rFonts w:ascii="仿宋_GB2312" w:eastAsia="仿宋_GB2312"/>
          <w:b/>
          <w:sz w:val="32"/>
          <w:szCs w:val="32"/>
        </w:rPr>
      </w:pPr>
    </w:p>
    <w:p>
      <w:pPr>
        <w:spacing w:line="520" w:lineRule="exact"/>
        <w:ind w:firstLine="31680" w:firstLineChars="200"/>
        <w:jc w:val="center"/>
        <w:rPr>
          <w:rFonts w:ascii="仿宋_GB2312" w:eastAsia="仿宋_GB2312"/>
          <w:b/>
          <w:sz w:val="32"/>
          <w:szCs w:val="32"/>
        </w:rPr>
      </w:pPr>
    </w:p>
    <w:p>
      <w:pPr>
        <w:spacing w:line="520" w:lineRule="exact"/>
        <w:rPr>
          <w:rFonts w:ascii="仿宋_GB2312" w:eastAsia="仿宋_GB2312"/>
          <w:b/>
          <w:sz w:val="32"/>
          <w:szCs w:val="32"/>
        </w:rPr>
        <w:sectPr>
          <w:pgSz w:w="11906" w:h="16838"/>
          <w:pgMar w:top="1021" w:right="1247" w:bottom="1021" w:left="1247" w:header="851" w:footer="992" w:gutter="0"/>
          <w:cols w:space="425" w:num="1"/>
          <w:docGrid w:type="lines" w:linePitch="312" w:charSpace="0"/>
        </w:sectPr>
      </w:pPr>
    </w:p>
    <w:p>
      <w:pPr>
        <w:spacing w:line="42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苏州市相城区教育局赴高校公开招聘教师简章</w:t>
      </w:r>
    </w:p>
    <w:p>
      <w:pPr>
        <w:spacing w:line="420" w:lineRule="exact"/>
        <w:jc w:val="center"/>
        <w:rPr>
          <w:b/>
          <w:sz w:val="44"/>
          <w:szCs w:val="44"/>
        </w:rPr>
      </w:pPr>
    </w:p>
    <w:p>
      <w:pPr>
        <w:adjustRightInd w:val="0"/>
        <w:snapToGrid w:val="0"/>
        <w:spacing w:line="440" w:lineRule="exact"/>
        <w:ind w:firstLine="31680" w:firstLineChars="19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因工作需要，</w:t>
      </w:r>
      <w:r>
        <w:rPr>
          <w:rFonts w:ascii="仿宋_GB2312" w:eastAsia="仿宋_GB2312"/>
          <w:sz w:val="32"/>
          <w:szCs w:val="32"/>
        </w:rPr>
        <w:t>2017</w:t>
      </w:r>
      <w:r>
        <w:rPr>
          <w:rFonts w:hint="eastAsia" w:ascii="仿宋_GB2312" w:eastAsia="仿宋_GB2312"/>
          <w:sz w:val="32"/>
          <w:szCs w:val="32"/>
        </w:rPr>
        <w:t>年相城区教育局赴高校公开招聘年金制教师若干名。现将有关事项公布如下：</w:t>
      </w:r>
    </w:p>
    <w:p>
      <w:pPr>
        <w:spacing w:line="440" w:lineRule="exact"/>
        <w:ind w:firstLine="3168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一、招聘范围及对象</w:t>
      </w:r>
    </w:p>
    <w:p>
      <w:pPr>
        <w:adjustRightInd w:val="0"/>
        <w:snapToGrid w:val="0"/>
        <w:spacing w:line="440" w:lineRule="exact"/>
        <w:ind w:firstLine="3168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2017</w:t>
      </w:r>
      <w:r>
        <w:rPr>
          <w:rFonts w:hint="eastAsia" w:ascii="仿宋_GB2312" w:eastAsia="仿宋_GB2312"/>
          <w:color w:val="000000"/>
          <w:sz w:val="32"/>
          <w:szCs w:val="32"/>
        </w:rPr>
        <w:t>年应届高校毕业生，招聘对象应符合以下条件之一：①全日制师范类本科毕业生；②已取得相应教师资格证书、年龄在</w:t>
      </w:r>
      <w:r>
        <w:rPr>
          <w:rFonts w:ascii="仿宋_GB2312" w:eastAsia="仿宋_GB2312"/>
          <w:color w:val="000000"/>
          <w:sz w:val="32"/>
          <w:szCs w:val="32"/>
        </w:rPr>
        <w:t>30</w:t>
      </w:r>
      <w:r>
        <w:rPr>
          <w:rFonts w:hint="eastAsia" w:ascii="仿宋_GB2312" w:eastAsia="仿宋_GB2312"/>
          <w:color w:val="000000"/>
          <w:sz w:val="32"/>
          <w:szCs w:val="32"/>
        </w:rPr>
        <w:t>周岁以下</w:t>
      </w:r>
      <w:r>
        <w:rPr>
          <w:rFonts w:hint="eastAsia" w:ascii="仿宋_GB2312" w:eastAsia="仿宋_GB2312"/>
          <w:sz w:val="32"/>
          <w:szCs w:val="32"/>
        </w:rPr>
        <w:t>（即</w:t>
      </w:r>
      <w:r>
        <w:rPr>
          <w:rFonts w:ascii="仿宋_GB2312" w:eastAsia="仿宋_GB2312"/>
          <w:sz w:val="32"/>
          <w:szCs w:val="32"/>
        </w:rPr>
        <w:t>1985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14</w:t>
      </w:r>
      <w:r>
        <w:rPr>
          <w:rFonts w:hint="eastAsia" w:ascii="仿宋_GB2312" w:eastAsia="仿宋_GB2312"/>
          <w:sz w:val="32"/>
          <w:szCs w:val="32"/>
        </w:rPr>
        <w:t>号以后出生）</w:t>
      </w:r>
      <w:r>
        <w:rPr>
          <w:rFonts w:hint="eastAsia" w:ascii="仿宋_GB2312" w:eastAsia="仿宋_GB2312"/>
          <w:color w:val="000000"/>
          <w:sz w:val="32"/>
          <w:szCs w:val="32"/>
        </w:rPr>
        <w:t>的硕士及以上研究生。</w:t>
      </w:r>
    </w:p>
    <w:p>
      <w:pPr>
        <w:adjustRightInd w:val="0"/>
        <w:snapToGrid w:val="0"/>
        <w:spacing w:line="420" w:lineRule="exact"/>
        <w:ind w:firstLine="31680" w:firstLineChars="200"/>
        <w:rPr>
          <w:rFonts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二、招聘岗位</w:t>
      </w:r>
    </w:p>
    <w:p>
      <w:pPr>
        <w:adjustRightInd w:val="0"/>
        <w:snapToGrid w:val="0"/>
        <w:spacing w:line="420" w:lineRule="exact"/>
        <w:ind w:firstLine="3168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小学语文教师、小学数学教师、中小学英语教师、中学历史教师、中学物理教师、小学音乐教师、小学体育教师、幼教教师若干名。</w:t>
      </w:r>
    </w:p>
    <w:p>
      <w:pPr>
        <w:widowControl/>
        <w:spacing w:line="440" w:lineRule="exact"/>
        <w:ind w:firstLine="31680" w:firstLineChars="196"/>
        <w:rPr>
          <w:rFonts w:ascii="黑体" w:hAnsi="宋体" w:eastAsia="黑体" w:cs="宋体"/>
          <w:bCs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kern w:val="0"/>
          <w:sz w:val="32"/>
          <w:szCs w:val="32"/>
        </w:rPr>
        <w:t>三、</w:t>
      </w:r>
      <w:r>
        <w:rPr>
          <w:rFonts w:hint="eastAsia" w:ascii="黑体" w:eastAsia="黑体"/>
          <w:sz w:val="32"/>
          <w:szCs w:val="32"/>
        </w:rPr>
        <w:t>报名时间、地点、材料</w:t>
      </w:r>
    </w:p>
    <w:p>
      <w:pPr>
        <w:spacing w:line="440" w:lineRule="exact"/>
        <w:ind w:firstLine="3168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（一）报名时间：</w:t>
      </w:r>
      <w:r>
        <w:rPr>
          <w:rFonts w:ascii="仿宋_GB2312" w:eastAsia="仿宋_GB2312"/>
          <w:sz w:val="32"/>
          <w:szCs w:val="32"/>
        </w:rPr>
        <w:t>2016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14</w:t>
      </w:r>
      <w:r>
        <w:rPr>
          <w:rFonts w:hint="eastAsia" w:ascii="仿宋_GB2312" w:eastAsia="仿宋_GB2312"/>
          <w:sz w:val="32"/>
          <w:szCs w:val="32"/>
        </w:rPr>
        <w:t>日（周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三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9：00</w:t>
      </w:r>
      <w:r>
        <w:rPr>
          <w:rFonts w:ascii="仿宋_GB2312" w:eastAsia="仿宋_GB2312"/>
          <w:sz w:val="32"/>
          <w:szCs w:val="32"/>
        </w:rPr>
        <w:t>—11: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ascii="仿宋_GB2312" w:eastAsia="仿宋_GB2312"/>
          <w:sz w:val="32"/>
          <w:szCs w:val="32"/>
        </w:rPr>
        <w:t>0</w:t>
      </w:r>
    </w:p>
    <w:p>
      <w:pPr>
        <w:spacing w:line="440" w:lineRule="exact"/>
        <w:ind w:firstLine="3168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（二）报名地点：</w:t>
      </w:r>
      <w:r>
        <w:rPr>
          <w:rFonts w:hint="eastAsia" w:ascii="仿宋_GB2312" w:eastAsia="仿宋_GB2312"/>
          <w:color w:val="FF0000"/>
          <w:sz w:val="32"/>
          <w:szCs w:val="32"/>
        </w:rPr>
        <w:t>华中师范大学学生就业处</w:t>
      </w:r>
      <w:r>
        <w:rPr>
          <w:rFonts w:ascii="仿宋_GB2312" w:eastAsia="仿宋_GB2312"/>
          <w:color w:val="FF0000"/>
          <w:sz w:val="32"/>
          <w:szCs w:val="32"/>
        </w:rPr>
        <w:t>B1</w:t>
      </w:r>
      <w:r>
        <w:rPr>
          <w:rFonts w:hint="eastAsia" w:ascii="仿宋_GB2312" w:eastAsia="仿宋_GB2312"/>
          <w:color w:val="FF0000"/>
          <w:sz w:val="32"/>
          <w:szCs w:val="32"/>
          <w:lang w:val="en-US" w:eastAsia="zh-CN"/>
        </w:rPr>
        <w:t>12</w:t>
      </w:r>
    </w:p>
    <w:p>
      <w:pPr>
        <w:spacing w:line="440" w:lineRule="exact"/>
        <w:ind w:firstLine="31680" w:firstLineChars="200"/>
        <w:rPr>
          <w:rFonts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（三）报名材料（提供原件，收取复印件）：①《相城区公开招聘中小学教师资格审查登</w:t>
      </w:r>
      <w:r>
        <w:rPr>
          <w:rFonts w:hint="eastAsia" w:ascii="仿宋_GB2312" w:eastAsia="仿宋_GB2312"/>
          <w:w w:val="98"/>
          <w:sz w:val="32"/>
          <w:szCs w:val="32"/>
        </w:rPr>
        <w:t>记表》</w:t>
      </w:r>
      <w:r>
        <w:rPr>
          <w:rFonts w:ascii="仿宋_GB2312" w:eastAsia="仿宋_GB2312"/>
          <w:w w:val="98"/>
          <w:sz w:val="32"/>
          <w:szCs w:val="32"/>
        </w:rPr>
        <w:t>1</w:t>
      </w:r>
      <w:r>
        <w:rPr>
          <w:rFonts w:hint="eastAsia" w:ascii="仿宋_GB2312" w:eastAsia="仿宋_GB2312"/>
          <w:w w:val="98"/>
          <w:sz w:val="32"/>
          <w:szCs w:val="32"/>
        </w:rPr>
        <w:t>份（加贴照片），②本人身份证，③学生证，④</w:t>
      </w:r>
      <w:r>
        <w:rPr>
          <w:rFonts w:hint="eastAsia" w:ascii="仿宋_GB2312" w:eastAsia="仿宋_GB2312"/>
          <w:sz w:val="32"/>
          <w:szCs w:val="32"/>
        </w:rPr>
        <w:t>所在院校毕业生就业主管部门出具的“毕业生双向选择就业推荐表”，⑤“毕业生就业协议书”（空白），⑥在校期间的全部课程成绩单，⑦应聘岗位所需的其它相关资格证书。</w:t>
      </w:r>
    </w:p>
    <w:p>
      <w:pPr>
        <w:adjustRightInd w:val="0"/>
        <w:snapToGrid w:val="0"/>
        <w:spacing w:line="440" w:lineRule="exact"/>
        <w:ind w:firstLine="31680" w:firstLineChars="150"/>
        <w:rPr>
          <w:rFonts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四、招聘程序及时间安排</w:t>
      </w:r>
    </w:p>
    <w:p>
      <w:pPr>
        <w:adjustRightInd w:val="0"/>
        <w:snapToGrid w:val="0"/>
        <w:spacing w:line="440" w:lineRule="exact"/>
        <w:ind w:firstLine="31680" w:firstLineChars="15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（一）</w:t>
      </w:r>
      <w:r>
        <w:rPr>
          <w:rFonts w:ascii="仿宋_GB2312" w:hAnsi="仿宋" w:eastAsia="仿宋_GB2312"/>
          <w:sz w:val="32"/>
          <w:szCs w:val="32"/>
        </w:rPr>
        <w:t>12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</w:rPr>
        <w:t>14</w:t>
      </w:r>
      <w:r>
        <w:rPr>
          <w:rFonts w:hint="eastAsia" w:ascii="仿宋_GB2312" w:hAnsi="仿宋" w:eastAsia="仿宋_GB2312"/>
          <w:sz w:val="32"/>
          <w:szCs w:val="32"/>
        </w:rPr>
        <w:t>日上午组织现场报名、资格审核。下午公布进入笔试人员名单，晚上组织笔试。笔试内容为学科专业知识。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笔试成绩以百分制计算，设</w:t>
      </w:r>
      <w:r>
        <w:rPr>
          <w:rFonts w:ascii="仿宋_GB2312" w:hAnsi="仿宋_GB2312" w:eastAsia="仿宋_GB2312" w:cs="仿宋_GB2312"/>
          <w:spacing w:val="-4"/>
          <w:sz w:val="32"/>
          <w:szCs w:val="32"/>
        </w:rPr>
        <w:t>60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分为合格分数线（不带入面试）。在合格分数线以上根据笔试成绩从高分到低分</w:t>
      </w:r>
      <w:r>
        <w:rPr>
          <w:rFonts w:ascii="仿宋_GB2312" w:hAnsi="仿宋" w:eastAsia="仿宋_GB2312"/>
          <w:sz w:val="32"/>
          <w:szCs w:val="32"/>
        </w:rPr>
        <w:t>1:2</w:t>
      </w:r>
      <w:r>
        <w:rPr>
          <w:rFonts w:hint="eastAsia" w:ascii="仿宋_GB2312" w:hAnsi="仿宋" w:eastAsia="仿宋_GB2312"/>
          <w:sz w:val="32"/>
          <w:szCs w:val="32"/>
        </w:rPr>
        <w:t>比例（不足</w:t>
      </w:r>
      <w:r>
        <w:rPr>
          <w:rFonts w:ascii="仿宋_GB2312" w:hAnsi="仿宋" w:eastAsia="仿宋_GB2312"/>
          <w:sz w:val="32"/>
          <w:szCs w:val="32"/>
        </w:rPr>
        <w:t>1:2</w:t>
      </w:r>
      <w:r>
        <w:rPr>
          <w:rFonts w:hint="eastAsia" w:ascii="仿宋_GB2312" w:hAnsi="仿宋" w:eastAsia="仿宋_GB2312"/>
          <w:sz w:val="32"/>
          <w:szCs w:val="32"/>
        </w:rPr>
        <w:t>时按实际人数）确定进入面试人员（电话通知）。</w:t>
      </w:r>
    </w:p>
    <w:p>
      <w:pPr>
        <w:adjustRightInd w:val="0"/>
        <w:snapToGrid w:val="0"/>
        <w:spacing w:line="440" w:lineRule="exact"/>
        <w:ind w:firstLine="31680" w:firstLineChars="15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（二）</w:t>
      </w:r>
      <w:r>
        <w:rPr>
          <w:rFonts w:ascii="仿宋_GB2312" w:hAnsi="仿宋" w:eastAsia="仿宋_GB2312"/>
          <w:sz w:val="32"/>
          <w:szCs w:val="32"/>
        </w:rPr>
        <w:t>12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</w:rPr>
        <w:t>15</w:t>
      </w:r>
      <w:r>
        <w:rPr>
          <w:rFonts w:hint="eastAsia" w:ascii="仿宋_GB2312" w:hAnsi="仿宋" w:eastAsia="仿宋_GB2312"/>
          <w:sz w:val="32"/>
          <w:szCs w:val="32"/>
        </w:rPr>
        <w:t>日组织面试。根据面试成绩，按招聘岗位</w:t>
      </w:r>
      <w:r>
        <w:rPr>
          <w:rFonts w:ascii="仿宋_GB2312" w:hAnsi="仿宋" w:eastAsia="仿宋_GB2312"/>
          <w:sz w:val="32"/>
          <w:szCs w:val="32"/>
        </w:rPr>
        <w:t>1:1</w:t>
      </w:r>
      <w:r>
        <w:rPr>
          <w:rFonts w:hint="eastAsia" w:ascii="仿宋_GB2312" w:hAnsi="仿宋" w:eastAsia="仿宋_GB2312"/>
          <w:sz w:val="32"/>
          <w:szCs w:val="32"/>
        </w:rPr>
        <w:t>比例确定意向人员。签订就业意向书。</w:t>
      </w:r>
    </w:p>
    <w:p>
      <w:pPr>
        <w:adjustRightInd w:val="0"/>
        <w:snapToGrid w:val="0"/>
        <w:spacing w:line="440" w:lineRule="exact"/>
        <w:ind w:firstLine="31680" w:firstLineChars="15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（三）</w:t>
      </w:r>
      <w:r>
        <w:rPr>
          <w:rFonts w:ascii="仿宋_GB2312" w:hAnsi="仿宋" w:eastAsia="仿宋_GB2312"/>
          <w:sz w:val="32"/>
          <w:szCs w:val="32"/>
        </w:rPr>
        <w:t>12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</w:rPr>
        <w:t>31</w:t>
      </w:r>
      <w:r>
        <w:rPr>
          <w:rFonts w:hint="eastAsia" w:ascii="仿宋_GB2312" w:hAnsi="仿宋" w:eastAsia="仿宋_GB2312"/>
          <w:sz w:val="32"/>
          <w:szCs w:val="32"/>
        </w:rPr>
        <w:t>日前，组织意向人员体检、政审，体检、政审合格的，由教育局进行拟录用公示。经公示无异议，双方签订就业协议。教育局将拟录用人员名册报区编委办、区人社局备案后，办理录用等相关手续。对不符合本次《简章》规定的招聘条件的人员，取消其录取资格。</w:t>
      </w:r>
    </w:p>
    <w:p>
      <w:pPr>
        <w:adjustRightInd w:val="0"/>
        <w:snapToGrid w:val="0"/>
        <w:spacing w:line="440" w:lineRule="exact"/>
        <w:ind w:firstLine="31680" w:firstLineChars="15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（四）新录用人员统一实行试用期，试用期为</w:t>
      </w:r>
      <w:r>
        <w:rPr>
          <w:rFonts w:ascii="仿宋_GB2312" w:hAnsi="仿宋" w:eastAsia="仿宋_GB2312"/>
          <w:sz w:val="32"/>
          <w:szCs w:val="32"/>
        </w:rPr>
        <w:t>6</w:t>
      </w:r>
      <w:r>
        <w:rPr>
          <w:rFonts w:hint="eastAsia" w:ascii="仿宋_GB2312" w:hAnsi="仿宋" w:eastAsia="仿宋_GB2312"/>
          <w:sz w:val="32"/>
          <w:szCs w:val="32"/>
        </w:rPr>
        <w:t>个月。</w:t>
      </w:r>
    </w:p>
    <w:p>
      <w:pPr>
        <w:adjustRightInd w:val="0"/>
        <w:snapToGrid w:val="0"/>
        <w:spacing w:line="440" w:lineRule="exact"/>
        <w:ind w:firstLine="3168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五、其他说明</w:t>
      </w:r>
    </w:p>
    <w:p>
      <w:pPr>
        <w:adjustRightInd w:val="0"/>
        <w:snapToGrid w:val="0"/>
        <w:spacing w:line="440" w:lineRule="exact"/>
        <w:ind w:firstLine="31680" w:firstLineChars="15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eastAsia="仿宋_GB2312"/>
          <w:spacing w:val="-4"/>
          <w:kern w:val="32"/>
          <w:sz w:val="32"/>
          <w:szCs w:val="32"/>
        </w:rPr>
        <w:t>年金制教师在职期间，薪资报酬参照同类事业编制人员执行。按照企业人员规定参加社会保险和缴纳住房公积金。</w:t>
      </w:r>
      <w:r>
        <w:rPr>
          <w:rFonts w:hint="eastAsia" w:ascii="仿宋_GB2312" w:hAnsi="仿宋" w:eastAsia="仿宋_GB2312"/>
          <w:sz w:val="32"/>
          <w:szCs w:val="32"/>
        </w:rPr>
        <w:t>参照职业年金的缴纳办法补充企业年金，用以保障退休后待遇。</w:t>
      </w:r>
    </w:p>
    <w:p>
      <w:pPr>
        <w:spacing w:line="440" w:lineRule="exact"/>
        <w:ind w:firstLine="3168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六、纪律与监督</w:t>
      </w:r>
    </w:p>
    <w:p>
      <w:pPr>
        <w:spacing w:line="440" w:lineRule="exact"/>
        <w:ind w:firstLine="3168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次招聘工作坚持“公开、平等、竞争、择优”的原则，由区教育局组织实施，区人社局、区纪委予以指导和监督。对单位和个人违反招聘规程规定一经查实的，按国家、省、市关于事业单位公开招聘工作中纪律与监督的有关规定处理。</w:t>
      </w:r>
    </w:p>
    <w:p>
      <w:pPr>
        <w:spacing w:line="440" w:lineRule="exact"/>
        <w:ind w:firstLine="3168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七、本简章由相城区教育局负责解释。</w:t>
      </w:r>
      <w:r>
        <w:rPr>
          <w:rFonts w:hint="eastAsia" w:ascii="仿宋_GB2312" w:eastAsia="仿宋_GB2312"/>
          <w:sz w:val="32"/>
          <w:szCs w:val="32"/>
        </w:rPr>
        <w:t>咨询电话：</w:t>
      </w:r>
      <w:r>
        <w:rPr>
          <w:rFonts w:ascii="仿宋_GB2312" w:eastAsia="仿宋_GB2312"/>
          <w:sz w:val="32"/>
          <w:szCs w:val="32"/>
        </w:rPr>
        <w:t>0512-85182102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360" w:lineRule="exact"/>
        <w:ind w:firstLine="31680" w:firstLineChars="1450"/>
        <w:rPr>
          <w:rFonts w:ascii="仿宋_GB2312" w:eastAsia="仿宋_GB2312"/>
          <w:sz w:val="32"/>
          <w:szCs w:val="32"/>
        </w:rPr>
      </w:pPr>
    </w:p>
    <w:p>
      <w:pPr>
        <w:spacing w:line="360" w:lineRule="exact"/>
        <w:ind w:firstLine="31680" w:firstLineChars="18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苏州市相城区教育局</w:t>
      </w:r>
    </w:p>
    <w:p>
      <w:pPr>
        <w:spacing w:line="360" w:lineRule="exact"/>
        <w:ind w:firstLine="31680" w:firstLineChars="19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2016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360" w:lineRule="exact"/>
        <w:ind w:firstLine="31680" w:firstLineChars="1600"/>
        <w:rPr>
          <w:rFonts w:ascii="仿宋_GB2312" w:eastAsia="仿宋_GB2312"/>
          <w:color w:val="FF0000"/>
          <w:sz w:val="32"/>
          <w:szCs w:val="32"/>
        </w:rPr>
      </w:pPr>
      <w:r>
        <w:rPr>
          <w:rFonts w:ascii="仿宋_GB2312" w:eastAsia="仿宋_GB2312"/>
          <w:color w:val="FF0000"/>
          <w:sz w:val="32"/>
          <w:szCs w:val="32"/>
        </w:rPr>
        <w:br w:type="page"/>
      </w:r>
    </w:p>
    <w:p>
      <w:pPr>
        <w:adjustRightInd w:val="0"/>
        <w:snapToGrid w:val="0"/>
        <w:spacing w:line="278" w:lineRule="auto"/>
        <w:ind w:right="-182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相城区公开招聘中小学教师资格审查登记表</w:t>
      </w:r>
    </w:p>
    <w:p>
      <w:pPr>
        <w:adjustRightInd w:val="0"/>
        <w:snapToGrid w:val="0"/>
        <w:spacing w:line="278" w:lineRule="auto"/>
        <w:ind w:right="-182"/>
        <w:rPr>
          <w:rFonts w:ascii="仿宋_GB2312" w:eastAsia="仿宋_GB2312"/>
          <w:b/>
          <w:sz w:val="24"/>
        </w:rPr>
      </w:pPr>
    </w:p>
    <w:p>
      <w:pPr>
        <w:adjustRightInd w:val="0"/>
        <w:snapToGrid w:val="0"/>
        <w:spacing w:line="278" w:lineRule="auto"/>
        <w:ind w:right="-182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24"/>
        </w:rPr>
        <w:t>报考岗位：</w:t>
      </w:r>
      <w:r>
        <w:rPr>
          <w:rFonts w:ascii="仿宋_GB2312" w:eastAsia="仿宋_GB2312"/>
          <w:b/>
          <w:sz w:val="24"/>
          <w:u w:val="single"/>
        </w:rPr>
        <w:t xml:space="preserve">                          </w:t>
      </w:r>
      <w:r>
        <w:rPr>
          <w:rFonts w:ascii="仿宋_GB2312" w:eastAsia="仿宋_GB2312"/>
          <w:b/>
          <w:sz w:val="24"/>
        </w:rPr>
        <w:t xml:space="preserve"> </w:t>
      </w:r>
    </w:p>
    <w:tbl>
      <w:tblPr>
        <w:tblStyle w:val="8"/>
        <w:tblW w:w="10273" w:type="dxa"/>
        <w:tblInd w:w="-25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25"/>
        <w:gridCol w:w="390"/>
        <w:gridCol w:w="248"/>
        <w:gridCol w:w="143"/>
        <w:gridCol w:w="391"/>
        <w:gridCol w:w="391"/>
        <w:gridCol w:w="180"/>
        <w:gridCol w:w="211"/>
        <w:gridCol w:w="391"/>
        <w:gridCol w:w="60"/>
        <w:gridCol w:w="223"/>
        <w:gridCol w:w="108"/>
        <w:gridCol w:w="391"/>
        <w:gridCol w:w="391"/>
        <w:gridCol w:w="439"/>
        <w:gridCol w:w="352"/>
        <w:gridCol w:w="391"/>
        <w:gridCol w:w="391"/>
        <w:gridCol w:w="413"/>
        <w:gridCol w:w="220"/>
        <w:gridCol w:w="152"/>
        <w:gridCol w:w="391"/>
        <w:gridCol w:w="391"/>
        <w:gridCol w:w="395"/>
        <w:gridCol w:w="19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exact"/>
        </w:trPr>
        <w:tc>
          <w:tcPr>
            <w:tcW w:w="1227" w:type="dxa"/>
            <w:gridSpan w:val="2"/>
            <w:tcBorders>
              <w:top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名</w:t>
            </w:r>
          </w:p>
        </w:tc>
        <w:tc>
          <w:tcPr>
            <w:tcW w:w="1743" w:type="dxa"/>
            <w:gridSpan w:val="6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5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1329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47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政治面貌</w:t>
            </w:r>
          </w:p>
        </w:tc>
        <w:tc>
          <w:tcPr>
            <w:tcW w:w="1549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93" w:type="dxa"/>
            <w:vMerge w:val="restart"/>
            <w:tcBorders>
              <w:top w:val="single" w:color="auto" w:sz="12" w:space="0"/>
              <w:left w:val="single" w:color="auto" w:sz="8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（照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exact"/>
        </w:trPr>
        <w:tc>
          <w:tcPr>
            <w:tcW w:w="1227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号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码</w:t>
            </w:r>
          </w:p>
        </w:tc>
        <w:tc>
          <w:tcPr>
            <w:tcW w:w="3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7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93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exact"/>
        </w:trPr>
        <w:tc>
          <w:tcPr>
            <w:tcW w:w="1865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毕业院校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（现工作单位）</w:t>
            </w:r>
          </w:p>
        </w:tc>
        <w:tc>
          <w:tcPr>
            <w:tcW w:w="3319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4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毕业时间</w:t>
            </w:r>
          </w:p>
        </w:tc>
        <w:tc>
          <w:tcPr>
            <w:tcW w:w="154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93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exact"/>
        </w:trPr>
        <w:tc>
          <w:tcPr>
            <w:tcW w:w="1865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历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（学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位）</w:t>
            </w:r>
          </w:p>
        </w:tc>
        <w:tc>
          <w:tcPr>
            <w:tcW w:w="176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所学专业</w:t>
            </w:r>
          </w:p>
        </w:tc>
        <w:tc>
          <w:tcPr>
            <w:tcW w:w="3096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93" w:type="dxa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exact"/>
        </w:trPr>
        <w:tc>
          <w:tcPr>
            <w:tcW w:w="1865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联系电话</w:t>
            </w:r>
          </w:p>
        </w:tc>
        <w:tc>
          <w:tcPr>
            <w:tcW w:w="3319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76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户籍所在地</w:t>
            </w:r>
          </w:p>
        </w:tc>
        <w:tc>
          <w:tcPr>
            <w:tcW w:w="332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</w:trPr>
        <w:tc>
          <w:tcPr>
            <w:tcW w:w="1865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家庭住址</w:t>
            </w:r>
          </w:p>
        </w:tc>
        <w:tc>
          <w:tcPr>
            <w:tcW w:w="8408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wordWrap w:val="0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</w:t>
            </w:r>
            <w:r>
              <w:rPr>
                <w:rFonts w:hint="eastAsia" w:eastAsia="仿宋_GB2312"/>
                <w:sz w:val="24"/>
              </w:rPr>
              <w:t>（邮编：</w:t>
            </w:r>
            <w:r>
              <w:rPr>
                <w:rFonts w:eastAsia="仿宋_GB2312"/>
                <w:sz w:val="24"/>
              </w:rPr>
              <w:t xml:space="preserve">          </w:t>
            </w:r>
            <w:r>
              <w:rPr>
                <w:rFonts w:hint="eastAsia" w:eastAsia="仿宋_GB2312"/>
                <w:sz w:val="24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exact"/>
        </w:trPr>
        <w:tc>
          <w:tcPr>
            <w:tcW w:w="1202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个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人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简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历</w:t>
            </w:r>
          </w:p>
        </w:tc>
        <w:tc>
          <w:tcPr>
            <w:tcW w:w="176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起止年月</w:t>
            </w:r>
          </w:p>
        </w:tc>
        <w:tc>
          <w:tcPr>
            <w:tcW w:w="7303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在何地、何单位、任何职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</w:rPr>
              <w:t>（从初中开始填写）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5" w:hRule="atLeast"/>
        </w:trPr>
        <w:tc>
          <w:tcPr>
            <w:tcW w:w="1202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71" w:type="dxa"/>
            <w:gridSpan w:val="25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1" w:hRule="atLeast"/>
        </w:trPr>
        <w:tc>
          <w:tcPr>
            <w:tcW w:w="1202" w:type="dxa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奖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惩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情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况</w:t>
            </w:r>
          </w:p>
        </w:tc>
        <w:tc>
          <w:tcPr>
            <w:tcW w:w="9071" w:type="dxa"/>
            <w:gridSpan w:val="25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10273" w:type="dxa"/>
            <w:gridSpan w:val="26"/>
            <w:tcBorders>
              <w:top w:val="single" w:color="auto" w:sz="8" w:space="0"/>
              <w:bottom w:val="single" w:color="auto" w:sz="12" w:space="0"/>
            </w:tcBorders>
            <w:vAlign w:val="center"/>
          </w:tcPr>
          <w:p>
            <w:pPr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以上各项由报名者如实填写。一经发现作假，资格取消，责任由应聘者自负。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6" w:hRule="atLeast"/>
        </w:trPr>
        <w:tc>
          <w:tcPr>
            <w:tcW w:w="1865" w:type="dxa"/>
            <w:gridSpan w:val="4"/>
            <w:tcBorders>
              <w:top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资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格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审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查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意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见</w:t>
            </w:r>
          </w:p>
        </w:tc>
        <w:tc>
          <w:tcPr>
            <w:tcW w:w="8408" w:type="dxa"/>
            <w:gridSpan w:val="22"/>
            <w:tcBorders>
              <w:top w:val="single" w:color="auto" w:sz="12" w:space="0"/>
              <w:left w:val="single" w:color="auto" w:sz="8" w:space="0"/>
              <w:bottom w:val="single" w:color="auto" w:sz="12" w:space="0"/>
            </w:tcBorders>
          </w:tcPr>
          <w:p>
            <w:pPr>
              <w:ind w:firstLine="31680" w:firstLineChars="600"/>
              <w:rPr>
                <w:rFonts w:eastAsia="仿宋_GB2312"/>
                <w:sz w:val="24"/>
              </w:rPr>
            </w:pPr>
          </w:p>
          <w:p>
            <w:pPr>
              <w:ind w:right="240"/>
              <w:rPr>
                <w:rFonts w:eastAsia="仿宋_GB2312"/>
                <w:sz w:val="24"/>
              </w:rPr>
            </w:pPr>
          </w:p>
          <w:p>
            <w:pPr>
              <w:ind w:right="240"/>
              <w:rPr>
                <w:rFonts w:eastAsia="仿宋_GB2312"/>
                <w:sz w:val="24"/>
              </w:rPr>
            </w:pPr>
          </w:p>
          <w:p>
            <w:pPr>
              <w:ind w:right="240"/>
              <w:rPr>
                <w:rFonts w:eastAsia="仿宋_GB2312"/>
                <w:sz w:val="24"/>
              </w:rPr>
            </w:pPr>
          </w:p>
          <w:p>
            <w:pPr>
              <w:ind w:right="240" w:firstLine="31680" w:firstLineChars="15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审核人（签名）：</w:t>
            </w:r>
          </w:p>
          <w:p>
            <w:pPr>
              <w:ind w:right="240" w:firstLine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</w:t>
            </w:r>
          </w:p>
          <w:p>
            <w:pPr>
              <w:ind w:right="240" w:firstLine="31680" w:firstLineChars="155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2016</w:t>
            </w:r>
            <w:r>
              <w:rPr>
                <w:rFonts w:hint="eastAsia"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>12</w:t>
            </w:r>
            <w:r>
              <w:rPr>
                <w:rFonts w:hint="eastAsia"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>14</w:t>
            </w:r>
            <w:r>
              <w:rPr>
                <w:rFonts w:hint="eastAsia" w:eastAsia="仿宋_GB2312"/>
                <w:sz w:val="24"/>
              </w:rPr>
              <w:t>日</w:t>
            </w:r>
          </w:p>
          <w:p>
            <w:pPr>
              <w:ind w:right="240" w:firstLine="31680" w:firstLineChars="3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</w:t>
            </w:r>
          </w:p>
        </w:tc>
      </w:tr>
    </w:tbl>
    <w:p>
      <w:pPr>
        <w:adjustRightInd w:val="0"/>
        <w:snapToGrid w:val="0"/>
        <w:spacing w:line="278" w:lineRule="auto"/>
        <w:ind w:right="-182"/>
        <w:jc w:val="center"/>
      </w:pPr>
    </w:p>
    <w:sectPr>
      <w:pgSz w:w="11906" w:h="16838"/>
      <w:pgMar w:top="1869" w:right="1247" w:bottom="779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13549"/>
    <w:rsid w:val="00000647"/>
    <w:rsid w:val="00023672"/>
    <w:rsid w:val="00025548"/>
    <w:rsid w:val="000354FA"/>
    <w:rsid w:val="000364A3"/>
    <w:rsid w:val="0004719E"/>
    <w:rsid w:val="000502EB"/>
    <w:rsid w:val="00056211"/>
    <w:rsid w:val="00065781"/>
    <w:rsid w:val="00071EFB"/>
    <w:rsid w:val="00081480"/>
    <w:rsid w:val="0008724E"/>
    <w:rsid w:val="00091F53"/>
    <w:rsid w:val="000967C1"/>
    <w:rsid w:val="000978F5"/>
    <w:rsid w:val="000C7546"/>
    <w:rsid w:val="000E2166"/>
    <w:rsid w:val="000F3186"/>
    <w:rsid w:val="00116456"/>
    <w:rsid w:val="0012432E"/>
    <w:rsid w:val="0013083C"/>
    <w:rsid w:val="001406D4"/>
    <w:rsid w:val="00157353"/>
    <w:rsid w:val="00165EB1"/>
    <w:rsid w:val="00171B18"/>
    <w:rsid w:val="00190FDC"/>
    <w:rsid w:val="0019362C"/>
    <w:rsid w:val="001A6FCF"/>
    <w:rsid w:val="001E5045"/>
    <w:rsid w:val="001E5735"/>
    <w:rsid w:val="001F62E3"/>
    <w:rsid w:val="00206FDC"/>
    <w:rsid w:val="002117BC"/>
    <w:rsid w:val="00216B3D"/>
    <w:rsid w:val="00216EE7"/>
    <w:rsid w:val="00226747"/>
    <w:rsid w:val="00254720"/>
    <w:rsid w:val="002614E9"/>
    <w:rsid w:val="00265BA9"/>
    <w:rsid w:val="00291A59"/>
    <w:rsid w:val="002A0E7F"/>
    <w:rsid w:val="002A4BA2"/>
    <w:rsid w:val="002A59CF"/>
    <w:rsid w:val="002B5875"/>
    <w:rsid w:val="002C1226"/>
    <w:rsid w:val="002E3EDC"/>
    <w:rsid w:val="002F7284"/>
    <w:rsid w:val="00300565"/>
    <w:rsid w:val="00310E2F"/>
    <w:rsid w:val="003113E7"/>
    <w:rsid w:val="00313549"/>
    <w:rsid w:val="00325E99"/>
    <w:rsid w:val="00334917"/>
    <w:rsid w:val="00345617"/>
    <w:rsid w:val="00360AE2"/>
    <w:rsid w:val="0036319E"/>
    <w:rsid w:val="0037378B"/>
    <w:rsid w:val="00377230"/>
    <w:rsid w:val="0038023F"/>
    <w:rsid w:val="00383A43"/>
    <w:rsid w:val="0039305B"/>
    <w:rsid w:val="003A070D"/>
    <w:rsid w:val="003B34B5"/>
    <w:rsid w:val="003B4CE8"/>
    <w:rsid w:val="003D596F"/>
    <w:rsid w:val="003F3322"/>
    <w:rsid w:val="003F7596"/>
    <w:rsid w:val="004177EF"/>
    <w:rsid w:val="00420156"/>
    <w:rsid w:val="00420C2C"/>
    <w:rsid w:val="004353EB"/>
    <w:rsid w:val="00440501"/>
    <w:rsid w:val="00446F9E"/>
    <w:rsid w:val="00455778"/>
    <w:rsid w:val="00461F13"/>
    <w:rsid w:val="00471160"/>
    <w:rsid w:val="00476624"/>
    <w:rsid w:val="004825F9"/>
    <w:rsid w:val="00490268"/>
    <w:rsid w:val="004B6DFC"/>
    <w:rsid w:val="004B7042"/>
    <w:rsid w:val="004C2C53"/>
    <w:rsid w:val="004C2CBF"/>
    <w:rsid w:val="004C5C92"/>
    <w:rsid w:val="004E4687"/>
    <w:rsid w:val="004E66A3"/>
    <w:rsid w:val="00503385"/>
    <w:rsid w:val="00516CA8"/>
    <w:rsid w:val="00526065"/>
    <w:rsid w:val="00543AA6"/>
    <w:rsid w:val="005446EF"/>
    <w:rsid w:val="00551C0F"/>
    <w:rsid w:val="00575A8B"/>
    <w:rsid w:val="00575AA2"/>
    <w:rsid w:val="0058296C"/>
    <w:rsid w:val="00583BB2"/>
    <w:rsid w:val="00586BE3"/>
    <w:rsid w:val="00594C1D"/>
    <w:rsid w:val="005B2435"/>
    <w:rsid w:val="005B742C"/>
    <w:rsid w:val="005C2586"/>
    <w:rsid w:val="005D4AF2"/>
    <w:rsid w:val="00606D1C"/>
    <w:rsid w:val="006137B2"/>
    <w:rsid w:val="00624D24"/>
    <w:rsid w:val="006302BC"/>
    <w:rsid w:val="006409D0"/>
    <w:rsid w:val="006534FF"/>
    <w:rsid w:val="006673A5"/>
    <w:rsid w:val="006732F5"/>
    <w:rsid w:val="00676B7E"/>
    <w:rsid w:val="00676EFA"/>
    <w:rsid w:val="00677965"/>
    <w:rsid w:val="0068028E"/>
    <w:rsid w:val="0069455B"/>
    <w:rsid w:val="00696642"/>
    <w:rsid w:val="006A0B85"/>
    <w:rsid w:val="006A1B65"/>
    <w:rsid w:val="006A51DC"/>
    <w:rsid w:val="006B58F3"/>
    <w:rsid w:val="006E0AC1"/>
    <w:rsid w:val="006E26CD"/>
    <w:rsid w:val="00727866"/>
    <w:rsid w:val="00742050"/>
    <w:rsid w:val="00745AD1"/>
    <w:rsid w:val="00771A85"/>
    <w:rsid w:val="00784B69"/>
    <w:rsid w:val="00784BB5"/>
    <w:rsid w:val="00790C87"/>
    <w:rsid w:val="007935FE"/>
    <w:rsid w:val="007A6619"/>
    <w:rsid w:val="007A6EF0"/>
    <w:rsid w:val="007A7913"/>
    <w:rsid w:val="007B06F2"/>
    <w:rsid w:val="007B14AB"/>
    <w:rsid w:val="007B340C"/>
    <w:rsid w:val="007B679E"/>
    <w:rsid w:val="007C5F4B"/>
    <w:rsid w:val="007D1012"/>
    <w:rsid w:val="007D4BC1"/>
    <w:rsid w:val="007D6E25"/>
    <w:rsid w:val="008053AE"/>
    <w:rsid w:val="00811964"/>
    <w:rsid w:val="00814883"/>
    <w:rsid w:val="008154AA"/>
    <w:rsid w:val="008242F8"/>
    <w:rsid w:val="00862DFC"/>
    <w:rsid w:val="00863F32"/>
    <w:rsid w:val="008724BD"/>
    <w:rsid w:val="00873C39"/>
    <w:rsid w:val="00884231"/>
    <w:rsid w:val="0088643E"/>
    <w:rsid w:val="00890C52"/>
    <w:rsid w:val="008A64C4"/>
    <w:rsid w:val="008B1412"/>
    <w:rsid w:val="008B6237"/>
    <w:rsid w:val="008C5D94"/>
    <w:rsid w:val="008D675A"/>
    <w:rsid w:val="008E2521"/>
    <w:rsid w:val="008E3E32"/>
    <w:rsid w:val="008E69B3"/>
    <w:rsid w:val="00900554"/>
    <w:rsid w:val="009033A0"/>
    <w:rsid w:val="00931B29"/>
    <w:rsid w:val="00933D84"/>
    <w:rsid w:val="00935793"/>
    <w:rsid w:val="00944EA7"/>
    <w:rsid w:val="0095614C"/>
    <w:rsid w:val="00973F67"/>
    <w:rsid w:val="00974108"/>
    <w:rsid w:val="00985D18"/>
    <w:rsid w:val="009A20D1"/>
    <w:rsid w:val="009B25DA"/>
    <w:rsid w:val="00A01FD2"/>
    <w:rsid w:val="00A21EF3"/>
    <w:rsid w:val="00A33A76"/>
    <w:rsid w:val="00A45CE5"/>
    <w:rsid w:val="00A66894"/>
    <w:rsid w:val="00A703E2"/>
    <w:rsid w:val="00A7125B"/>
    <w:rsid w:val="00A763C8"/>
    <w:rsid w:val="00A8135E"/>
    <w:rsid w:val="00A96865"/>
    <w:rsid w:val="00AA1F6B"/>
    <w:rsid w:val="00AB22D3"/>
    <w:rsid w:val="00AB31E3"/>
    <w:rsid w:val="00AC16D2"/>
    <w:rsid w:val="00AE63AB"/>
    <w:rsid w:val="00AF41CA"/>
    <w:rsid w:val="00B1144F"/>
    <w:rsid w:val="00B14FA8"/>
    <w:rsid w:val="00B3337E"/>
    <w:rsid w:val="00B41401"/>
    <w:rsid w:val="00B5714A"/>
    <w:rsid w:val="00B657FF"/>
    <w:rsid w:val="00B67360"/>
    <w:rsid w:val="00B72A4C"/>
    <w:rsid w:val="00B740DE"/>
    <w:rsid w:val="00B9432B"/>
    <w:rsid w:val="00BA6E2D"/>
    <w:rsid w:val="00BB0ED2"/>
    <w:rsid w:val="00BB69F2"/>
    <w:rsid w:val="00BB7130"/>
    <w:rsid w:val="00BD1BDC"/>
    <w:rsid w:val="00BF18F7"/>
    <w:rsid w:val="00C1716B"/>
    <w:rsid w:val="00C205E7"/>
    <w:rsid w:val="00C31DC7"/>
    <w:rsid w:val="00C32246"/>
    <w:rsid w:val="00C342D1"/>
    <w:rsid w:val="00C35A17"/>
    <w:rsid w:val="00C70716"/>
    <w:rsid w:val="00C770C7"/>
    <w:rsid w:val="00C812AC"/>
    <w:rsid w:val="00CB1A88"/>
    <w:rsid w:val="00CC12FF"/>
    <w:rsid w:val="00CD2247"/>
    <w:rsid w:val="00CD3A92"/>
    <w:rsid w:val="00CE4E64"/>
    <w:rsid w:val="00D03E07"/>
    <w:rsid w:val="00D11070"/>
    <w:rsid w:val="00D1400D"/>
    <w:rsid w:val="00D153DD"/>
    <w:rsid w:val="00D32AE3"/>
    <w:rsid w:val="00D37A0B"/>
    <w:rsid w:val="00D51D24"/>
    <w:rsid w:val="00D549ED"/>
    <w:rsid w:val="00D571BF"/>
    <w:rsid w:val="00D64CF3"/>
    <w:rsid w:val="00D77488"/>
    <w:rsid w:val="00D86CBA"/>
    <w:rsid w:val="00D909AB"/>
    <w:rsid w:val="00D91631"/>
    <w:rsid w:val="00D92AD4"/>
    <w:rsid w:val="00DD489C"/>
    <w:rsid w:val="00DD60B3"/>
    <w:rsid w:val="00DE3B81"/>
    <w:rsid w:val="00DE57F7"/>
    <w:rsid w:val="00DF3BAB"/>
    <w:rsid w:val="00E00A02"/>
    <w:rsid w:val="00E07951"/>
    <w:rsid w:val="00E22ECD"/>
    <w:rsid w:val="00E46C59"/>
    <w:rsid w:val="00E5534C"/>
    <w:rsid w:val="00E6352E"/>
    <w:rsid w:val="00ED0691"/>
    <w:rsid w:val="00ED5963"/>
    <w:rsid w:val="00ED5D84"/>
    <w:rsid w:val="00F266D2"/>
    <w:rsid w:val="00F274E7"/>
    <w:rsid w:val="00F72903"/>
    <w:rsid w:val="00FA1C69"/>
    <w:rsid w:val="00FA7C4A"/>
    <w:rsid w:val="00FB135D"/>
    <w:rsid w:val="00FC6206"/>
    <w:rsid w:val="00FD2DF3"/>
    <w:rsid w:val="00FD6BB6"/>
    <w:rsid w:val="190E175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uiPriority w:val="99"/>
    <w:pPr>
      <w:ind w:left="100" w:leftChars="2500"/>
    </w:pPr>
  </w:style>
  <w:style w:type="paragraph" w:styleId="3">
    <w:name w:val="Balloon Text"/>
    <w:basedOn w:val="1"/>
    <w:link w:val="11"/>
    <w:semiHidden/>
    <w:uiPriority w:val="99"/>
    <w:rPr>
      <w:sz w:val="18"/>
      <w:szCs w:val="18"/>
    </w:rPr>
  </w:style>
  <w:style w:type="paragraph" w:styleId="4">
    <w:name w:val="footer"/>
    <w:basedOn w:val="1"/>
    <w:link w:val="1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5"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table" w:styleId="9">
    <w:name w:val="Table Grid"/>
    <w:basedOn w:val="8"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Date Char"/>
    <w:basedOn w:val="7"/>
    <w:link w:val="2"/>
    <w:semiHidden/>
    <w:qFormat/>
    <w:locked/>
    <w:uiPriority w:val="99"/>
    <w:rPr>
      <w:rFonts w:cs="Times New Roman"/>
      <w:sz w:val="24"/>
      <w:szCs w:val="24"/>
    </w:rPr>
  </w:style>
  <w:style w:type="character" w:customStyle="1" w:styleId="11">
    <w:name w:val="Balloon Text Char"/>
    <w:basedOn w:val="7"/>
    <w:link w:val="3"/>
    <w:semiHidden/>
    <w:locked/>
    <w:uiPriority w:val="99"/>
    <w:rPr>
      <w:rFonts w:cs="Times New Roman"/>
      <w:sz w:val="2"/>
    </w:rPr>
  </w:style>
  <w:style w:type="character" w:customStyle="1" w:styleId="12">
    <w:name w:val="Header Char"/>
    <w:basedOn w:val="7"/>
    <w:link w:val="5"/>
    <w:locked/>
    <w:uiPriority w:val="99"/>
    <w:rPr>
      <w:rFonts w:cs="Times New Roman"/>
      <w:kern w:val="2"/>
      <w:sz w:val="18"/>
      <w:szCs w:val="18"/>
    </w:rPr>
  </w:style>
  <w:style w:type="character" w:customStyle="1" w:styleId="13">
    <w:name w:val="Footer Char"/>
    <w:basedOn w:val="7"/>
    <w:link w:val="4"/>
    <w:locked/>
    <w:uiPriority w:val="99"/>
    <w:rPr>
      <w:rFonts w:cs="Times New Roman"/>
      <w:kern w:val="2"/>
      <w:sz w:val="18"/>
      <w:szCs w:val="18"/>
    </w:rPr>
  </w:style>
  <w:style w:type="character" w:customStyle="1" w:styleId="14">
    <w:name w:val="HTML Preformatted Char"/>
    <w:basedOn w:val="7"/>
    <w:link w:val="6"/>
    <w:semiHidden/>
    <w:locked/>
    <w:uiPriority w:val="99"/>
    <w:rPr>
      <w:rFonts w:ascii="Courier New" w:hAnsi="Courier New" w:cs="Courier New"/>
      <w:sz w:val="20"/>
      <w:szCs w:val="20"/>
    </w:rPr>
  </w:style>
  <w:style w:type="character" w:customStyle="1" w:styleId="15">
    <w:name w:val="HTML Preformatted Char1"/>
    <w:basedOn w:val="7"/>
    <w:link w:val="6"/>
    <w:locked/>
    <w:uiPriority w:val="99"/>
    <w:rPr>
      <w:rFonts w:ascii="Arial" w:hAnsi="Arial" w:eastAsia="宋体" w:cs="Arial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Microsoft</Company>
  <Pages>4</Pages>
  <Words>288</Words>
  <Characters>1648</Characters>
  <Lines>0</Lines>
  <Paragraphs>0</Paragraphs>
  <TotalTime>0</TotalTime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2016-11-29T01:31:00Z</dcterms:created>
  <dc:creator>范蕾</dc:creator>
  <cp:lastModifiedBy>Administrator</cp:lastModifiedBy>
  <cp:lastPrinted>2016-12-09T08:48:00Z</cp:lastPrinted>
  <dcterms:modified xsi:type="dcterms:W3CDTF">2016-12-12T01:00:14Z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