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附件4：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2017年中小学非师范类应聘对象的专业要求</w:t>
      </w:r>
    </w:p>
    <w:tbl>
      <w:tblPr>
        <w:tblStyle w:val="3"/>
        <w:tblpPr w:leftFromText="180" w:rightFromText="180" w:vertAnchor="page" w:horzAnchor="margin" w:tblpXSpec="center" w:tblpY="3503"/>
        <w:tblW w:w="84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7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</w:t>
            </w:r>
          </w:p>
        </w:tc>
        <w:tc>
          <w:tcPr>
            <w:tcW w:w="735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非师范类专业要求及其它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语文</w:t>
            </w:r>
          </w:p>
        </w:tc>
        <w:tc>
          <w:tcPr>
            <w:tcW w:w="7353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1.汉语言文学、汉语言、汉语言国际教育（对外汉语）专业；2.具有普通话二甲证书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英语</w:t>
            </w:r>
          </w:p>
        </w:tc>
        <w:tc>
          <w:tcPr>
            <w:tcW w:w="7353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英语专业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历史</w:t>
            </w:r>
          </w:p>
        </w:tc>
        <w:tc>
          <w:tcPr>
            <w:tcW w:w="7353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历史学专业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地理</w:t>
            </w:r>
          </w:p>
        </w:tc>
        <w:tc>
          <w:tcPr>
            <w:tcW w:w="7353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地理科学、地理信息科学专业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</w:tc>
        <w:tc>
          <w:tcPr>
            <w:tcW w:w="7353" w:type="dxa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思想政治教育、哲学、法学、国际政治专业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4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生物</w:t>
            </w:r>
          </w:p>
        </w:tc>
        <w:tc>
          <w:tcPr>
            <w:tcW w:w="7353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植物学、动物学、微生物学、生物技术、生物学、生物科学、应用生物科学、生物技术、农学专业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体育</w:t>
            </w:r>
          </w:p>
        </w:tc>
        <w:tc>
          <w:tcPr>
            <w:tcW w:w="7353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体育教育、运动训练、武术与民族传统体育、社会体育专业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数学</w:t>
            </w:r>
          </w:p>
        </w:tc>
        <w:tc>
          <w:tcPr>
            <w:tcW w:w="7353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数学与应用数学、应用数学专业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科学</w:t>
            </w:r>
          </w:p>
        </w:tc>
        <w:tc>
          <w:tcPr>
            <w:tcW w:w="7353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物理学、应用物理学、化学、应用化学、地理科学、生物技术、生物科学专业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美术</w:t>
            </w:r>
          </w:p>
        </w:tc>
        <w:tc>
          <w:tcPr>
            <w:tcW w:w="7353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美术学、绘画、雕塑、摄影、中国画、书法学专业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社会与政治</w:t>
            </w:r>
          </w:p>
        </w:tc>
        <w:tc>
          <w:tcPr>
            <w:tcW w:w="7353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政治学、哲学、历史学、地理科学、地理信息科学专业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信息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技术</w:t>
            </w:r>
          </w:p>
        </w:tc>
        <w:tc>
          <w:tcPr>
            <w:tcW w:w="7353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Cs w:val="21"/>
              </w:rPr>
              <w:t>计算科学与技术、教育技术学、网络工程、软件工程、数字媒体技术、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计算机应用技术专业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音乐</w:t>
            </w:r>
          </w:p>
        </w:tc>
        <w:tc>
          <w:tcPr>
            <w:tcW w:w="7353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音乐表演、音乐学、舞蹈表演、舞蹈学、舞蹈编导专业</w:t>
            </w:r>
          </w:p>
        </w:tc>
      </w:tr>
    </w:tbl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非师范类应届研究生应聘对象的专业要求：研究生专业与上述相应应聘学科所提供的专业类别一致</w:t>
      </w:r>
    </w:p>
    <w:p>
      <w:r>
        <w:rPr>
          <w:rFonts w:ascii="仿宋_GB2312" w:eastAsia="仿宋_GB2312"/>
          <w:sz w:val="32"/>
          <w:szCs w:val="32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FZXiaoBiaoSong-B05S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3008EB"/>
    <w:rsid w:val="723008E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2017-01-26T13:40:00Z</dcterms:created>
  <dc:creator>Administrator</dc:creator>
  <cp:lastModifiedBy>Administrator</cp:lastModifiedBy>
  <dcterms:modified xsi:type="dcterms:W3CDTF">2017-01-26T13:40:42Z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