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980" w:type="dxa"/>
        <w:tblInd w:w="0" w:type="dxa"/>
        <w:tblLayout w:type="fixed"/>
        <w:tblCellMar>
          <w:top w:w="15" w:type="dxa"/>
          <w:left w:w="15" w:type="dxa"/>
          <w:bottom w:w="15" w:type="dxa"/>
          <w:right w:w="15" w:type="dxa"/>
        </w:tblCellMar>
      </w:tblPr>
      <w:tblGrid>
        <w:gridCol w:w="811"/>
        <w:gridCol w:w="733"/>
        <w:gridCol w:w="811"/>
        <w:gridCol w:w="699"/>
        <w:gridCol w:w="811"/>
        <w:gridCol w:w="2050"/>
        <w:gridCol w:w="3065"/>
      </w:tblGrid>
      <w:tr>
        <w:tblPrEx>
          <w:tblLayout w:type="fixed"/>
          <w:tblCellMar>
            <w:top w:w="15" w:type="dxa"/>
            <w:left w:w="15" w:type="dxa"/>
            <w:bottom w:w="15" w:type="dxa"/>
            <w:right w:w="15" w:type="dxa"/>
          </w:tblCellMar>
        </w:tblPrEx>
        <w:trPr>
          <w:trHeight w:val="828" w:hRule="atLeast"/>
        </w:trPr>
        <w:tc>
          <w:tcPr>
            <w:tcW w:w="8980" w:type="dxa"/>
            <w:gridSpan w:val="7"/>
            <w:shd w:val="clear" w:color="auto" w:fill="FFFFFF"/>
            <w:vAlign w:val="center"/>
          </w:tcPr>
          <w:p>
            <w:pPr>
              <w:widowControl/>
              <w:jc w:val="center"/>
              <w:textAlignment w:val="center"/>
              <w:rPr>
                <w:rFonts w:ascii="??_GB2312" w:hAnsi="??_GB2312" w:cs="??_GB2312"/>
                <w:b/>
                <w:color w:val="000000"/>
                <w:sz w:val="28"/>
                <w:szCs w:val="28"/>
              </w:rPr>
            </w:pPr>
            <w:bookmarkStart w:id="0" w:name="_GoBack"/>
            <w:bookmarkEnd w:id="0"/>
            <w:r>
              <w:rPr>
                <w:rFonts w:ascii="??_GB2312" w:hAnsi="??_GB2312" w:cs="??_GB2312"/>
                <w:b/>
                <w:color w:val="000000"/>
                <w:kern w:val="0"/>
                <w:sz w:val="28"/>
                <w:szCs w:val="28"/>
              </w:rPr>
              <w:t xml:space="preserve">     </w:t>
            </w:r>
            <w:r>
              <w:rPr>
                <w:rFonts w:hint="eastAsia" w:ascii="宋体" w:hAnsi="宋体"/>
                <w:b/>
                <w:color w:val="000000"/>
                <w:kern w:val="0"/>
                <w:sz w:val="28"/>
                <w:szCs w:val="28"/>
              </w:rPr>
              <w:t>招聘岗位、人数、专业及资格条件</w:t>
            </w:r>
          </w:p>
        </w:tc>
      </w:tr>
      <w:tr>
        <w:tblPrEx>
          <w:tblLayout w:type="fixed"/>
          <w:tblCellMar>
            <w:top w:w="15" w:type="dxa"/>
            <w:left w:w="15" w:type="dxa"/>
            <w:bottom w:w="15" w:type="dxa"/>
            <w:right w:w="15" w:type="dxa"/>
          </w:tblCellMar>
        </w:tblPrEx>
        <w:trPr>
          <w:trHeight w:val="839"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b/>
                <w:color w:val="000000"/>
                <w:sz w:val="20"/>
                <w:szCs w:val="20"/>
              </w:rPr>
            </w:pPr>
            <w:r>
              <w:rPr>
                <w:rFonts w:hint="eastAsia" w:ascii="宋体" w:hAnsi="宋体"/>
                <w:b/>
                <w:color w:val="000000"/>
                <w:kern w:val="0"/>
                <w:sz w:val="20"/>
                <w:szCs w:val="20"/>
              </w:rPr>
              <w:t>序号</w:t>
            </w: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b/>
                <w:color w:val="000000"/>
                <w:sz w:val="20"/>
                <w:szCs w:val="20"/>
              </w:rPr>
            </w:pPr>
            <w:r>
              <w:rPr>
                <w:rFonts w:hint="eastAsia" w:ascii="宋体" w:hAnsi="宋体"/>
                <w:b/>
                <w:color w:val="000000"/>
                <w:kern w:val="0"/>
                <w:sz w:val="20"/>
                <w:szCs w:val="20"/>
              </w:rPr>
              <w:t>岗位类别</w:t>
            </w:r>
          </w:p>
        </w:tc>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b/>
                <w:color w:val="000000"/>
                <w:sz w:val="20"/>
                <w:szCs w:val="20"/>
              </w:rPr>
            </w:pPr>
            <w:r>
              <w:rPr>
                <w:rFonts w:hint="eastAsia" w:ascii="宋体" w:hAnsi="宋体"/>
                <w:b/>
                <w:color w:val="000000"/>
                <w:kern w:val="0"/>
                <w:sz w:val="20"/>
                <w:szCs w:val="20"/>
              </w:rPr>
              <w:t>招聘学科</w:t>
            </w:r>
          </w:p>
        </w:tc>
        <w:tc>
          <w:tcPr>
            <w:tcW w:w="151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b/>
                <w:color w:val="000000"/>
                <w:sz w:val="20"/>
                <w:szCs w:val="20"/>
              </w:rPr>
            </w:pPr>
            <w:r>
              <w:rPr>
                <w:rFonts w:hint="eastAsia" w:ascii="宋体" w:hAnsi="宋体"/>
                <w:b/>
                <w:color w:val="000000"/>
                <w:kern w:val="0"/>
                <w:sz w:val="20"/>
                <w:szCs w:val="20"/>
              </w:rPr>
              <w:t>岗位数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b/>
                <w:color w:val="000000"/>
                <w:sz w:val="20"/>
                <w:szCs w:val="20"/>
              </w:rPr>
            </w:pPr>
            <w:r>
              <w:rPr>
                <w:rFonts w:hint="eastAsia" w:ascii="宋体" w:hAnsi="宋体"/>
                <w:b/>
                <w:color w:val="000000"/>
                <w:kern w:val="0"/>
                <w:sz w:val="20"/>
                <w:szCs w:val="20"/>
              </w:rPr>
              <w:t>专</w:t>
            </w:r>
            <w:r>
              <w:rPr>
                <w:rFonts w:ascii="宋体" w:hAnsi="宋体"/>
                <w:b/>
                <w:color w:val="000000"/>
                <w:kern w:val="0"/>
                <w:sz w:val="20"/>
                <w:szCs w:val="20"/>
              </w:rPr>
              <w:t xml:space="preserve">   </w:t>
            </w:r>
            <w:r>
              <w:rPr>
                <w:rFonts w:hint="eastAsia" w:ascii="宋体" w:hAnsi="宋体"/>
                <w:b/>
                <w:color w:val="000000"/>
                <w:kern w:val="0"/>
                <w:sz w:val="20"/>
                <w:szCs w:val="20"/>
              </w:rPr>
              <w:t>业</w:t>
            </w:r>
            <w:r>
              <w:rPr>
                <w:rFonts w:ascii="宋体" w:hAnsi="宋体"/>
                <w:b/>
                <w:color w:val="000000"/>
                <w:kern w:val="0"/>
                <w:sz w:val="20"/>
                <w:szCs w:val="20"/>
              </w:rPr>
              <w:t xml:space="preserve">    </w:t>
            </w:r>
            <w:r>
              <w:rPr>
                <w:rFonts w:hint="eastAsia" w:ascii="宋体" w:hAnsi="宋体"/>
                <w:b/>
                <w:color w:val="000000"/>
                <w:kern w:val="0"/>
                <w:sz w:val="20"/>
                <w:szCs w:val="20"/>
              </w:rPr>
              <w:t>要</w:t>
            </w:r>
            <w:r>
              <w:rPr>
                <w:rFonts w:ascii="宋体" w:hAnsi="宋体"/>
                <w:b/>
                <w:color w:val="000000"/>
                <w:kern w:val="0"/>
                <w:sz w:val="20"/>
                <w:szCs w:val="20"/>
              </w:rPr>
              <w:t xml:space="preserve">   </w:t>
            </w:r>
            <w:r>
              <w:rPr>
                <w:rFonts w:hint="eastAsia" w:ascii="宋体" w:hAnsi="宋体"/>
                <w:b/>
                <w:color w:val="000000"/>
                <w:kern w:val="0"/>
                <w:sz w:val="20"/>
                <w:szCs w:val="20"/>
              </w:rPr>
              <w:t>求</w:t>
            </w:r>
          </w:p>
        </w:tc>
        <w:tc>
          <w:tcPr>
            <w:tcW w:w="30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b/>
                <w:color w:val="000000"/>
                <w:sz w:val="20"/>
                <w:szCs w:val="20"/>
              </w:rPr>
            </w:pPr>
            <w:r>
              <w:rPr>
                <w:rFonts w:hint="eastAsia" w:ascii="宋体" w:hAnsi="宋体"/>
                <w:b/>
                <w:color w:val="000000"/>
                <w:kern w:val="0"/>
                <w:sz w:val="20"/>
                <w:szCs w:val="20"/>
              </w:rPr>
              <w:t>资格条件及其它</w:t>
            </w:r>
          </w:p>
        </w:tc>
      </w:tr>
      <w:tr>
        <w:tblPrEx>
          <w:tblLayout w:type="fixed"/>
          <w:tblCellMar>
            <w:top w:w="15" w:type="dxa"/>
            <w:left w:w="15" w:type="dxa"/>
            <w:bottom w:w="15" w:type="dxa"/>
            <w:right w:w="15" w:type="dxa"/>
          </w:tblCellMar>
        </w:tblPrEx>
        <w:trPr>
          <w:trHeight w:val="733"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w:t>
            </w:r>
          </w:p>
        </w:tc>
        <w:tc>
          <w:tcPr>
            <w:tcW w:w="7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中学</w:t>
            </w: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高中地理</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地理、地理科学、地理教育等相关专业</w:t>
            </w:r>
          </w:p>
        </w:tc>
        <w:tc>
          <w:tcPr>
            <w:tcW w:w="3065" w:type="dxa"/>
            <w:vMerge w:val="restart"/>
            <w:tcBorders>
              <w:top w:val="single" w:color="000000" w:sz="4" w:space="0"/>
              <w:left w:val="single" w:color="000000" w:sz="4" w:space="0"/>
              <w:right w:val="single" w:color="000000" w:sz="4" w:space="0"/>
            </w:tcBorders>
            <w:vAlign w:val="center"/>
          </w:tcPr>
          <w:p>
            <w:pPr>
              <w:widowControl/>
              <w:jc w:val="left"/>
              <w:textAlignment w:val="center"/>
              <w:rPr>
                <w:rFonts w:ascii="宋体"/>
                <w:color w:val="000000"/>
                <w:kern w:val="0"/>
                <w:sz w:val="20"/>
                <w:szCs w:val="20"/>
              </w:rPr>
            </w:pPr>
            <w:r>
              <w:rPr>
                <w:rFonts w:hint="eastAsia" w:ascii="宋体" w:hAnsi="宋体"/>
                <w:color w:val="000000"/>
                <w:kern w:val="0"/>
                <w:sz w:val="20"/>
                <w:szCs w:val="20"/>
              </w:rPr>
              <w:t>符合以下条件之一：</w:t>
            </w:r>
          </w:p>
          <w:p>
            <w:pPr>
              <w:widowControl/>
              <w:jc w:val="left"/>
              <w:textAlignment w:val="center"/>
              <w:rPr>
                <w:rFonts w:ascii="宋体"/>
                <w:color w:val="000000"/>
                <w:kern w:val="0"/>
                <w:sz w:val="20"/>
                <w:szCs w:val="20"/>
              </w:rPr>
            </w:pPr>
            <w:r>
              <w:rPr>
                <w:rFonts w:ascii="宋体" w:hAnsi="宋体"/>
                <w:color w:val="000000"/>
                <w:kern w:val="0"/>
                <w:sz w:val="20"/>
                <w:szCs w:val="20"/>
              </w:rPr>
              <w:t>1.2017</w:t>
            </w:r>
            <w:r>
              <w:rPr>
                <w:rFonts w:hint="eastAsia" w:ascii="宋体" w:hAnsi="宋体"/>
                <w:color w:val="000000"/>
                <w:kern w:val="0"/>
                <w:sz w:val="20"/>
                <w:szCs w:val="20"/>
              </w:rPr>
              <w:t>届全日制部属重点师范类大学（北京师范大学、华东师范大学、华中师范大学、陕西师范大学、西南大学、东北师范大学）及浙师大本科及以上学历毕业生（研究生学历的须本硕连续）。</w:t>
            </w:r>
          </w:p>
          <w:p>
            <w:pPr>
              <w:widowControl/>
              <w:jc w:val="left"/>
              <w:textAlignment w:val="center"/>
              <w:rPr>
                <w:rFonts w:ascii="宋体"/>
                <w:color w:val="000000"/>
                <w:sz w:val="20"/>
                <w:szCs w:val="20"/>
              </w:rPr>
            </w:pPr>
            <w:r>
              <w:rPr>
                <w:rFonts w:ascii="宋体" w:hAnsi="宋体"/>
                <w:color w:val="000000"/>
                <w:kern w:val="0"/>
                <w:sz w:val="20"/>
                <w:szCs w:val="20"/>
              </w:rPr>
              <w:t>2.</w:t>
            </w:r>
            <w:r>
              <w:rPr>
                <w:rFonts w:hint="eastAsia" w:ascii="宋体" w:hAnsi="宋体"/>
                <w:color w:val="000000"/>
                <w:kern w:val="0"/>
                <w:sz w:val="20"/>
                <w:szCs w:val="20"/>
              </w:rPr>
              <w:t>宁波大市生源的</w:t>
            </w:r>
            <w:r>
              <w:rPr>
                <w:rFonts w:ascii="宋体" w:hAnsi="宋体"/>
                <w:color w:val="000000"/>
                <w:kern w:val="0"/>
                <w:sz w:val="20"/>
                <w:szCs w:val="20"/>
              </w:rPr>
              <w:t>2017</w:t>
            </w:r>
            <w:r>
              <w:rPr>
                <w:rFonts w:hint="eastAsia" w:ascii="宋体" w:hAnsi="宋体"/>
                <w:color w:val="000000"/>
                <w:kern w:val="0"/>
                <w:sz w:val="20"/>
                <w:szCs w:val="20"/>
              </w:rPr>
              <w:t>届全日制普通高校大学本科及以上学历毕业生（研究生学历的须本硕连续），并获得以下荣誉或奖项之一：学院级及以上三好学生、优秀学生、优秀学生干部、优秀团干部、三等及以上奖学金。</w:t>
            </w:r>
          </w:p>
        </w:tc>
      </w:tr>
      <w:tr>
        <w:tblPrEx>
          <w:tblLayout w:type="fixed"/>
          <w:tblCellMar>
            <w:top w:w="15" w:type="dxa"/>
            <w:left w:w="15" w:type="dxa"/>
            <w:bottom w:w="15" w:type="dxa"/>
            <w:right w:w="15" w:type="dxa"/>
          </w:tblCellMar>
        </w:tblPrEx>
        <w:trPr>
          <w:trHeight w:val="1766"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2</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高中政治</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政治学与行政学、国际政治、思想政治教育等相关专业</w:t>
            </w:r>
          </w:p>
        </w:tc>
        <w:tc>
          <w:tcPr>
            <w:tcW w:w="3065" w:type="dxa"/>
            <w:vMerge w:val="continue"/>
            <w:tcBorders>
              <w:left w:val="single" w:color="000000" w:sz="4" w:space="0"/>
              <w:right w:val="single" w:color="000000" w:sz="4" w:space="0"/>
            </w:tcBorders>
            <w:vAlign w:val="center"/>
          </w:tcPr>
          <w:p>
            <w:pPr>
              <w:widowControl/>
              <w:jc w:val="left"/>
              <w:textAlignment w:val="center"/>
              <w:rPr>
                <w:rFonts w:ascii="宋体"/>
                <w:color w:val="000000"/>
                <w:sz w:val="20"/>
                <w:szCs w:val="20"/>
              </w:rPr>
            </w:pPr>
          </w:p>
        </w:tc>
      </w:tr>
      <w:tr>
        <w:tblPrEx>
          <w:tblLayout w:type="fixed"/>
          <w:tblCellMar>
            <w:top w:w="15" w:type="dxa"/>
            <w:left w:w="15" w:type="dxa"/>
            <w:bottom w:w="15" w:type="dxa"/>
            <w:right w:w="15" w:type="dxa"/>
          </w:tblCellMar>
        </w:tblPrEx>
        <w:trPr>
          <w:trHeight w:val="1766"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3</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通用技术（劳技）</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2</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测控技术、机械电子工程、电子科学技术、应用物理、计算机科技、机械电子工程等相关专业</w:t>
            </w:r>
          </w:p>
        </w:tc>
        <w:tc>
          <w:tcPr>
            <w:tcW w:w="3065" w:type="dxa"/>
            <w:vMerge w:val="continue"/>
            <w:tcBorders>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p>
        </w:tc>
      </w:tr>
      <w:tr>
        <w:tblPrEx>
          <w:tblLayout w:type="fixed"/>
          <w:tblCellMar>
            <w:top w:w="15" w:type="dxa"/>
            <w:left w:w="15" w:type="dxa"/>
            <w:bottom w:w="15" w:type="dxa"/>
            <w:right w:w="15" w:type="dxa"/>
          </w:tblCellMar>
        </w:tblPrEx>
        <w:trPr>
          <w:trHeight w:val="1421"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4</w:t>
            </w:r>
          </w:p>
        </w:tc>
        <w:tc>
          <w:tcPr>
            <w:tcW w:w="733" w:type="dxa"/>
            <w:vMerge w:val="restart"/>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小学（特殊教育）</w:t>
            </w: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小学语文（</w:t>
            </w:r>
            <w:r>
              <w:rPr>
                <w:rFonts w:ascii="宋体" w:hAnsi="宋体"/>
                <w:color w:val="000000"/>
                <w:kern w:val="0"/>
                <w:sz w:val="20"/>
                <w:szCs w:val="20"/>
              </w:rPr>
              <w:t>1</w:t>
            </w:r>
            <w:r>
              <w:rPr>
                <w:rFonts w:hint="eastAsia" w:ascii="宋体" w:hAnsi="宋体"/>
                <w:color w:val="000000"/>
                <w:kern w:val="0"/>
                <w:sz w:val="20"/>
                <w:szCs w:val="20"/>
              </w:rPr>
              <w:t>）</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15</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（定向：郭巨</w:t>
            </w:r>
            <w:r>
              <w:rPr>
                <w:rFonts w:ascii="宋体" w:hAnsi="宋体"/>
                <w:color w:val="000000"/>
                <w:kern w:val="0"/>
                <w:sz w:val="20"/>
                <w:szCs w:val="20"/>
              </w:rPr>
              <w:t>1</w:t>
            </w:r>
            <w:r>
              <w:rPr>
                <w:rFonts w:hint="eastAsia" w:ascii="宋体" w:hAnsi="宋体"/>
                <w:color w:val="000000"/>
                <w:kern w:val="0"/>
                <w:sz w:val="20"/>
                <w:szCs w:val="20"/>
              </w:rPr>
              <w:t>名、梅山</w:t>
            </w:r>
            <w:r>
              <w:rPr>
                <w:rFonts w:ascii="宋体" w:hAnsi="宋体"/>
                <w:color w:val="000000"/>
                <w:kern w:val="0"/>
                <w:sz w:val="20"/>
                <w:szCs w:val="20"/>
              </w:rPr>
              <w:t>1</w:t>
            </w:r>
            <w:r>
              <w:rPr>
                <w:rFonts w:hint="eastAsia" w:ascii="宋体" w:hAnsi="宋体"/>
                <w:color w:val="000000"/>
                <w:kern w:val="0"/>
                <w:sz w:val="20"/>
                <w:szCs w:val="20"/>
              </w:rPr>
              <w:t>名</w:t>
            </w:r>
            <w:r>
              <w:rPr>
                <w:rFonts w:ascii="宋体" w:hAnsi="宋体"/>
                <w:color w:val="000000"/>
                <w:kern w:val="0"/>
                <w:sz w:val="20"/>
                <w:szCs w:val="20"/>
              </w:rPr>
              <w:t xml:space="preserve"> </w:t>
            </w:r>
            <w:r>
              <w:rPr>
                <w:rFonts w:hint="eastAsia" w:ascii="宋体" w:hAnsi="宋体"/>
                <w:color w:val="000000"/>
                <w:kern w:val="0"/>
                <w:sz w:val="20"/>
                <w:szCs w:val="20"/>
              </w:rPr>
              <w:t>白峰</w:t>
            </w:r>
            <w:r>
              <w:rPr>
                <w:rFonts w:ascii="宋体" w:hAnsi="宋体"/>
                <w:color w:val="000000"/>
                <w:kern w:val="0"/>
                <w:sz w:val="20"/>
                <w:szCs w:val="20"/>
              </w:rPr>
              <w:t xml:space="preserve"> 2</w:t>
            </w:r>
            <w:r>
              <w:rPr>
                <w:rFonts w:hint="eastAsia" w:ascii="宋体" w:hAnsi="宋体"/>
                <w:color w:val="000000"/>
                <w:kern w:val="0"/>
                <w:sz w:val="20"/>
                <w:szCs w:val="20"/>
              </w:rPr>
              <w:t>名）</w:t>
            </w:r>
          </w:p>
        </w:tc>
        <w:tc>
          <w:tcPr>
            <w:tcW w:w="20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语文、语文教育、汉语言文学、汉语言文学教育、对外汉语、小学教育（侧文）等相关专业</w:t>
            </w:r>
          </w:p>
        </w:tc>
        <w:tc>
          <w:tcPr>
            <w:tcW w:w="30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宋体"/>
                <w:color w:val="000000"/>
                <w:kern w:val="0"/>
                <w:sz w:val="20"/>
                <w:szCs w:val="20"/>
              </w:rPr>
            </w:pPr>
            <w:r>
              <w:rPr>
                <w:rFonts w:hint="eastAsia" w:ascii="宋体" w:hAnsi="宋体"/>
                <w:color w:val="000000"/>
                <w:kern w:val="0"/>
                <w:sz w:val="20"/>
                <w:szCs w:val="20"/>
              </w:rPr>
              <w:t>符合以下条件之一：</w:t>
            </w:r>
          </w:p>
          <w:p>
            <w:pPr>
              <w:widowControl/>
              <w:numPr>
                <w:ilvl w:val="0"/>
                <w:numId w:val="1"/>
              </w:numPr>
              <w:jc w:val="left"/>
              <w:textAlignment w:val="center"/>
              <w:rPr>
                <w:rFonts w:ascii="宋体"/>
                <w:color w:val="000000"/>
                <w:kern w:val="0"/>
                <w:sz w:val="20"/>
                <w:szCs w:val="20"/>
              </w:rPr>
            </w:pPr>
            <w:r>
              <w:rPr>
                <w:rFonts w:hint="eastAsia" w:ascii="宋体" w:hAnsi="宋体"/>
                <w:color w:val="000000"/>
                <w:kern w:val="0"/>
                <w:sz w:val="20"/>
                <w:szCs w:val="20"/>
              </w:rPr>
              <w:t>宁波大市生源的</w:t>
            </w:r>
            <w:r>
              <w:rPr>
                <w:rFonts w:ascii="宋体" w:hAnsi="宋体"/>
                <w:color w:val="000000"/>
                <w:kern w:val="0"/>
                <w:sz w:val="20"/>
                <w:szCs w:val="20"/>
              </w:rPr>
              <w:t>2017</w:t>
            </w:r>
            <w:r>
              <w:rPr>
                <w:rFonts w:hint="eastAsia" w:ascii="宋体" w:hAnsi="宋体"/>
                <w:color w:val="000000"/>
                <w:kern w:val="0"/>
                <w:sz w:val="20"/>
                <w:szCs w:val="20"/>
              </w:rPr>
              <w:t>届全日制普通高校大学本科及以上学历毕业生。</w:t>
            </w:r>
            <w:r>
              <w:rPr>
                <w:rFonts w:ascii="宋体" w:hAnsi="宋体"/>
                <w:color w:val="000000"/>
                <w:kern w:val="0"/>
                <w:sz w:val="20"/>
                <w:szCs w:val="20"/>
              </w:rPr>
              <w:t>2017</w:t>
            </w:r>
            <w:r>
              <w:rPr>
                <w:rFonts w:hint="eastAsia" w:ascii="宋体" w:hAnsi="宋体"/>
                <w:color w:val="000000"/>
                <w:kern w:val="0"/>
                <w:sz w:val="20"/>
                <w:szCs w:val="20"/>
              </w:rPr>
              <w:t>届全日制部属重点师范类大学（北京师范大学、华东师范大学、华中师范大学、陕西师范大学、西南大学、东北师范大学）及浙师大、杭师大、宁波大学相应师范类专业本科及以上学历毕业生生源地可放宽到浙江省。</w:t>
            </w:r>
          </w:p>
          <w:p>
            <w:pPr>
              <w:widowControl/>
              <w:numPr>
                <w:ilvl w:val="0"/>
                <w:numId w:val="1"/>
              </w:numPr>
              <w:jc w:val="left"/>
              <w:textAlignment w:val="center"/>
              <w:rPr>
                <w:rFonts w:ascii="宋体"/>
                <w:color w:val="000000"/>
                <w:kern w:val="0"/>
                <w:sz w:val="20"/>
                <w:szCs w:val="20"/>
              </w:rPr>
            </w:pPr>
            <w:r>
              <w:rPr>
                <w:rFonts w:hint="eastAsia" w:ascii="宋体" w:hAnsi="宋体"/>
                <w:color w:val="000000"/>
                <w:kern w:val="0"/>
                <w:sz w:val="20"/>
                <w:szCs w:val="20"/>
              </w:rPr>
              <w:t>北仑区生源或户籍的</w:t>
            </w:r>
            <w:r>
              <w:rPr>
                <w:rFonts w:ascii="宋体" w:hAnsi="宋体"/>
                <w:color w:val="000000"/>
                <w:kern w:val="0"/>
                <w:sz w:val="20"/>
                <w:szCs w:val="20"/>
              </w:rPr>
              <w:t>2015</w:t>
            </w:r>
            <w:r>
              <w:rPr>
                <w:rFonts w:hint="eastAsia" w:ascii="宋体" w:hAnsi="宋体"/>
                <w:color w:val="000000"/>
                <w:kern w:val="0"/>
                <w:sz w:val="20"/>
                <w:szCs w:val="20"/>
              </w:rPr>
              <w:t>届、</w:t>
            </w:r>
            <w:r>
              <w:rPr>
                <w:rFonts w:ascii="宋体" w:hAnsi="宋体"/>
                <w:color w:val="000000"/>
                <w:kern w:val="0"/>
                <w:sz w:val="20"/>
                <w:szCs w:val="20"/>
              </w:rPr>
              <w:t>2016</w:t>
            </w:r>
            <w:r>
              <w:rPr>
                <w:rFonts w:hint="eastAsia" w:ascii="宋体" w:hAnsi="宋体"/>
                <w:color w:val="000000"/>
                <w:kern w:val="0"/>
                <w:sz w:val="20"/>
                <w:szCs w:val="20"/>
              </w:rPr>
              <w:t>届、</w:t>
            </w:r>
            <w:r>
              <w:rPr>
                <w:rFonts w:ascii="宋体" w:hAnsi="宋体"/>
                <w:color w:val="000000"/>
                <w:kern w:val="0"/>
                <w:sz w:val="20"/>
                <w:szCs w:val="20"/>
              </w:rPr>
              <w:t>2017</w:t>
            </w:r>
            <w:r>
              <w:rPr>
                <w:rFonts w:hint="eastAsia" w:ascii="宋体" w:hAnsi="宋体"/>
                <w:color w:val="000000"/>
                <w:kern w:val="0"/>
                <w:sz w:val="20"/>
                <w:szCs w:val="20"/>
              </w:rPr>
              <w:t>届全日制普通高校大学本科及以上毕业生（户籍迁入北仑的截止日期为公告发布日）。</w:t>
            </w:r>
          </w:p>
          <w:p>
            <w:pPr>
              <w:widowControl/>
              <w:numPr>
                <w:ilvl w:val="0"/>
                <w:numId w:val="1"/>
              </w:numPr>
              <w:jc w:val="left"/>
              <w:textAlignment w:val="center"/>
              <w:rPr>
                <w:rFonts w:ascii="宋体"/>
                <w:color w:val="000000"/>
                <w:kern w:val="0"/>
                <w:sz w:val="20"/>
                <w:szCs w:val="20"/>
              </w:rPr>
            </w:pPr>
            <w:r>
              <w:rPr>
                <w:rFonts w:ascii="宋体" w:hAnsi="宋体"/>
                <w:color w:val="000000"/>
                <w:kern w:val="0"/>
                <w:sz w:val="20"/>
                <w:szCs w:val="20"/>
              </w:rPr>
              <w:t>2016</w:t>
            </w:r>
            <w:r>
              <w:rPr>
                <w:rFonts w:hint="eastAsia" w:ascii="宋体" w:hAnsi="宋体"/>
                <w:color w:val="000000"/>
                <w:kern w:val="0"/>
                <w:sz w:val="20"/>
                <w:szCs w:val="20"/>
              </w:rPr>
              <w:t>年</w:t>
            </w:r>
            <w:r>
              <w:rPr>
                <w:rFonts w:ascii="宋体" w:hAnsi="宋体"/>
                <w:color w:val="000000"/>
                <w:kern w:val="0"/>
                <w:sz w:val="20"/>
                <w:szCs w:val="20"/>
              </w:rPr>
              <w:t>9</w:t>
            </w:r>
            <w:r>
              <w:rPr>
                <w:rFonts w:hint="eastAsia" w:ascii="宋体" w:hAnsi="宋体"/>
                <w:color w:val="000000"/>
                <w:kern w:val="0"/>
                <w:sz w:val="20"/>
                <w:szCs w:val="20"/>
              </w:rPr>
              <w:t>月已在北仑中小学担任临聘教学人员，并至今仍在北仑区内中小学任教的持有对应报考专业的教师资格证并具有大学本科及以上学历的人员。</w:t>
            </w:r>
          </w:p>
          <w:p>
            <w:pPr>
              <w:widowControl/>
              <w:numPr>
                <w:ilvl w:val="0"/>
                <w:numId w:val="1"/>
              </w:numPr>
              <w:jc w:val="left"/>
              <w:textAlignment w:val="center"/>
              <w:rPr>
                <w:rFonts w:ascii="宋体"/>
                <w:color w:val="000000"/>
                <w:sz w:val="20"/>
                <w:szCs w:val="20"/>
              </w:rPr>
            </w:pPr>
            <w:r>
              <w:rPr>
                <w:rFonts w:hint="eastAsia" w:ascii="宋体" w:hAnsi="宋体"/>
                <w:color w:val="000000"/>
                <w:kern w:val="0"/>
                <w:sz w:val="18"/>
                <w:szCs w:val="18"/>
              </w:rPr>
              <w:t>具有全日制本科及以上学历，在宁波大市内中小学任教相应学科三学年及以上（截止</w:t>
            </w:r>
            <w:r>
              <w:rPr>
                <w:rFonts w:ascii="宋体" w:hAnsi="宋体"/>
                <w:color w:val="000000"/>
                <w:kern w:val="0"/>
                <w:sz w:val="18"/>
                <w:szCs w:val="18"/>
              </w:rPr>
              <w:t>2017</w:t>
            </w:r>
            <w:r>
              <w:rPr>
                <w:rFonts w:hint="eastAsia" w:ascii="宋体" w:hAnsi="宋体"/>
                <w:color w:val="000000"/>
                <w:kern w:val="0"/>
                <w:sz w:val="18"/>
                <w:szCs w:val="18"/>
              </w:rPr>
              <w:t>年</w:t>
            </w:r>
            <w:r>
              <w:rPr>
                <w:rFonts w:ascii="宋体" w:hAnsi="宋体"/>
                <w:color w:val="000000"/>
                <w:kern w:val="0"/>
                <w:sz w:val="18"/>
                <w:szCs w:val="18"/>
              </w:rPr>
              <w:t>7</w:t>
            </w:r>
            <w:r>
              <w:rPr>
                <w:rFonts w:hint="eastAsia" w:ascii="宋体" w:hAnsi="宋体"/>
                <w:color w:val="000000"/>
                <w:kern w:val="0"/>
                <w:sz w:val="18"/>
                <w:szCs w:val="18"/>
              </w:rPr>
              <w:t>月</w:t>
            </w:r>
            <w:r>
              <w:rPr>
                <w:rFonts w:ascii="宋体" w:hAnsi="宋体"/>
                <w:color w:val="000000"/>
                <w:kern w:val="0"/>
                <w:sz w:val="18"/>
                <w:szCs w:val="18"/>
              </w:rPr>
              <w:t>31</w:t>
            </w:r>
            <w:r>
              <w:rPr>
                <w:rFonts w:hint="eastAsia" w:ascii="宋体" w:hAnsi="宋体"/>
                <w:color w:val="000000"/>
                <w:kern w:val="0"/>
                <w:sz w:val="18"/>
                <w:szCs w:val="18"/>
              </w:rPr>
              <w:t>日）且现仍在岗，</w:t>
            </w:r>
            <w:r>
              <w:rPr>
                <w:rFonts w:hint="eastAsia" w:ascii="宋体" w:hAnsi="宋体"/>
                <w:color w:val="000000"/>
                <w:kern w:val="0"/>
                <w:sz w:val="20"/>
                <w:szCs w:val="20"/>
              </w:rPr>
              <w:t>持有对应报考专业的教师资格证并具有大学本科及以上学历的，并符合以下条件之一：①获得各县市区教育部门颁发的区级教坛新秀三等奖或区级单项教学业务比赛二等奖及以上荣誉；②获得宁波市市级教研、教科等教育部门颁发的教学类比赛二等奖及以上荣誉证书。其它：</w:t>
            </w:r>
            <w:r>
              <w:rPr>
                <w:rFonts w:ascii="宋体" w:hAnsi="宋体"/>
                <w:color w:val="000000"/>
                <w:kern w:val="0"/>
                <w:sz w:val="20"/>
                <w:szCs w:val="20"/>
              </w:rPr>
              <w:t xml:space="preserve"> </w:t>
            </w:r>
            <w:r>
              <w:rPr>
                <w:rFonts w:hint="eastAsia" w:ascii="宋体" w:hAnsi="宋体"/>
                <w:color w:val="000000"/>
                <w:kern w:val="0"/>
                <w:sz w:val="20"/>
                <w:szCs w:val="20"/>
              </w:rPr>
              <w:t>兼报篮球、排球特长教师须在大学期间获得省级以上比赛二等奖及以上奖项，且为主力队员，所学专业不受限制。</w:t>
            </w:r>
          </w:p>
        </w:tc>
      </w:tr>
      <w:tr>
        <w:tblPrEx>
          <w:tblLayout w:type="fixed"/>
          <w:tblCellMar>
            <w:top w:w="15" w:type="dxa"/>
            <w:left w:w="15" w:type="dxa"/>
            <w:bottom w:w="15" w:type="dxa"/>
            <w:right w:w="15" w:type="dxa"/>
          </w:tblCellMar>
        </w:tblPrEx>
        <w:trPr>
          <w:trHeight w:val="733"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5</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小学语文（</w:t>
            </w:r>
            <w:r>
              <w:rPr>
                <w:rFonts w:ascii="宋体" w:hAnsi="宋体"/>
                <w:color w:val="000000"/>
                <w:kern w:val="0"/>
                <w:sz w:val="20"/>
                <w:szCs w:val="20"/>
              </w:rPr>
              <w:t>2</w:t>
            </w:r>
            <w:r>
              <w:rPr>
                <w:rFonts w:hint="eastAsia" w:ascii="宋体" w:hAnsi="宋体"/>
                <w:color w:val="000000"/>
                <w:kern w:val="0"/>
                <w:sz w:val="20"/>
                <w:szCs w:val="20"/>
              </w:rPr>
              <w:t>）</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5</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（男性）</w:t>
            </w:r>
          </w:p>
        </w:tc>
        <w:tc>
          <w:tcPr>
            <w:tcW w:w="20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1421"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6</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小学数学（</w:t>
            </w:r>
            <w:r>
              <w:rPr>
                <w:rFonts w:ascii="宋体" w:hAnsi="宋体"/>
                <w:color w:val="000000"/>
                <w:kern w:val="0"/>
                <w:sz w:val="20"/>
                <w:szCs w:val="20"/>
              </w:rPr>
              <w:t>1</w:t>
            </w:r>
            <w:r>
              <w:rPr>
                <w:rFonts w:hint="eastAsia" w:ascii="宋体" w:hAnsi="宋体"/>
                <w:color w:val="000000"/>
                <w:kern w:val="0"/>
                <w:sz w:val="20"/>
                <w:szCs w:val="20"/>
              </w:rPr>
              <w:t>）</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5</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（定向：郭巨</w:t>
            </w:r>
            <w:r>
              <w:rPr>
                <w:rFonts w:ascii="宋体" w:hAnsi="宋体"/>
                <w:color w:val="000000"/>
                <w:kern w:val="0"/>
                <w:sz w:val="20"/>
                <w:szCs w:val="20"/>
              </w:rPr>
              <w:t>1</w:t>
            </w:r>
            <w:r>
              <w:rPr>
                <w:rFonts w:hint="eastAsia" w:ascii="宋体" w:hAnsi="宋体"/>
                <w:color w:val="000000"/>
                <w:kern w:val="0"/>
                <w:sz w:val="20"/>
                <w:szCs w:val="20"/>
              </w:rPr>
              <w:t>名、梅山</w:t>
            </w:r>
            <w:r>
              <w:rPr>
                <w:rFonts w:ascii="宋体" w:hAnsi="宋体"/>
                <w:color w:val="000000"/>
                <w:kern w:val="0"/>
                <w:sz w:val="20"/>
                <w:szCs w:val="20"/>
              </w:rPr>
              <w:t>1</w:t>
            </w:r>
            <w:r>
              <w:rPr>
                <w:rFonts w:hint="eastAsia" w:ascii="宋体" w:hAnsi="宋体"/>
                <w:color w:val="000000"/>
                <w:kern w:val="0"/>
                <w:sz w:val="20"/>
                <w:szCs w:val="20"/>
              </w:rPr>
              <w:t>名</w:t>
            </w:r>
            <w:r>
              <w:rPr>
                <w:rFonts w:ascii="宋体" w:hAnsi="宋体"/>
                <w:color w:val="000000"/>
                <w:kern w:val="0"/>
                <w:sz w:val="20"/>
                <w:szCs w:val="20"/>
              </w:rPr>
              <w:t xml:space="preserve"> </w:t>
            </w:r>
            <w:r>
              <w:rPr>
                <w:rFonts w:hint="eastAsia" w:ascii="宋体" w:hAnsi="宋体"/>
                <w:color w:val="000000"/>
                <w:kern w:val="0"/>
                <w:sz w:val="20"/>
                <w:szCs w:val="20"/>
              </w:rPr>
              <w:t>白峰</w:t>
            </w:r>
            <w:r>
              <w:rPr>
                <w:rFonts w:ascii="宋体" w:hAnsi="宋体"/>
                <w:color w:val="000000"/>
                <w:kern w:val="0"/>
                <w:sz w:val="20"/>
                <w:szCs w:val="20"/>
              </w:rPr>
              <w:t xml:space="preserve"> 1</w:t>
            </w:r>
            <w:r>
              <w:rPr>
                <w:rFonts w:hint="eastAsia" w:ascii="宋体" w:hAnsi="宋体"/>
                <w:color w:val="000000"/>
                <w:kern w:val="0"/>
                <w:sz w:val="20"/>
                <w:szCs w:val="20"/>
              </w:rPr>
              <w:t>名）</w:t>
            </w:r>
          </w:p>
        </w:tc>
        <w:tc>
          <w:tcPr>
            <w:tcW w:w="20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数学、数学与应用数学、信息与计算科学、数学教育、小学教育（侧理）等相关专业</w:t>
            </w: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739"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7</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小学数学（</w:t>
            </w:r>
            <w:r>
              <w:rPr>
                <w:rFonts w:ascii="宋体" w:hAnsi="宋体"/>
                <w:color w:val="000000"/>
                <w:kern w:val="0"/>
                <w:sz w:val="20"/>
                <w:szCs w:val="20"/>
              </w:rPr>
              <w:t>2</w:t>
            </w:r>
            <w:r>
              <w:rPr>
                <w:rFonts w:hint="eastAsia" w:ascii="宋体" w:hAnsi="宋体"/>
                <w:color w:val="000000"/>
                <w:kern w:val="0"/>
                <w:sz w:val="20"/>
                <w:szCs w:val="20"/>
              </w:rPr>
              <w:t>）</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4</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（男性）</w:t>
            </w:r>
          </w:p>
        </w:tc>
        <w:tc>
          <w:tcPr>
            <w:tcW w:w="20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805"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8</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小学英语</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right"/>
              <w:textAlignment w:val="center"/>
              <w:rPr>
                <w:rFonts w:ascii="宋体"/>
                <w:color w:val="000000"/>
                <w:sz w:val="20"/>
                <w:szCs w:val="20"/>
              </w:rPr>
            </w:pPr>
            <w:r>
              <w:rPr>
                <w:rFonts w:ascii="宋体" w:hAnsi="宋体"/>
                <w:color w:val="000000"/>
                <w:sz w:val="20"/>
                <w:szCs w:val="20"/>
              </w:rPr>
              <w:t>5</w:t>
            </w:r>
          </w:p>
        </w:tc>
        <w:tc>
          <w:tcPr>
            <w:tcW w:w="811" w:type="dxa"/>
            <w:tcBorders>
              <w:top w:val="single" w:color="000000" w:sz="4" w:space="0"/>
              <w:bottom w:val="single" w:color="000000" w:sz="4" w:space="0"/>
              <w:right w:val="single" w:color="000000" w:sz="4" w:space="0"/>
            </w:tcBorders>
            <w:shd w:val="clear" w:color="auto" w:fill="FFFFFF"/>
            <w:vAlign w:val="center"/>
          </w:tcPr>
          <w:p>
            <w:pP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英语、应用英语、英语教育、小学教育（侧文）等相关专业</w:t>
            </w: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1077"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9</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小学音乐</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2</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（定向：郭巨</w:t>
            </w:r>
            <w:r>
              <w:rPr>
                <w:rFonts w:ascii="宋体" w:hAnsi="宋体"/>
                <w:color w:val="000000"/>
                <w:kern w:val="0"/>
                <w:sz w:val="20"/>
                <w:szCs w:val="20"/>
              </w:rPr>
              <w:t>1</w:t>
            </w:r>
            <w:r>
              <w:rPr>
                <w:rFonts w:hint="eastAsia" w:ascii="宋体" w:hAnsi="宋体"/>
                <w:color w:val="000000"/>
                <w:kern w:val="0"/>
                <w:sz w:val="20"/>
                <w:szCs w:val="20"/>
              </w:rPr>
              <w:t>名）</w:t>
            </w:r>
          </w:p>
        </w:tc>
        <w:tc>
          <w:tcPr>
            <w:tcW w:w="2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音乐、音乐学、音乐表演、音乐教育、音乐教育学、舞蹈等相关专业</w:t>
            </w: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2455"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10</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小学体育</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4</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（篮球特长</w:t>
            </w:r>
            <w:r>
              <w:rPr>
                <w:rFonts w:ascii="宋体" w:hAnsi="宋体"/>
                <w:color w:val="000000"/>
                <w:kern w:val="0"/>
                <w:sz w:val="20"/>
                <w:szCs w:val="20"/>
              </w:rPr>
              <w:t>1</w:t>
            </w:r>
            <w:r>
              <w:rPr>
                <w:rFonts w:hint="eastAsia" w:ascii="宋体" w:hAnsi="宋体"/>
                <w:color w:val="000000"/>
                <w:kern w:val="0"/>
                <w:sz w:val="20"/>
                <w:szCs w:val="20"/>
              </w:rPr>
              <w:t>名、排球特长</w:t>
            </w:r>
            <w:r>
              <w:rPr>
                <w:rFonts w:ascii="宋体" w:hAnsi="宋体"/>
                <w:color w:val="000000"/>
                <w:kern w:val="0"/>
                <w:sz w:val="20"/>
                <w:szCs w:val="20"/>
              </w:rPr>
              <w:t>1</w:t>
            </w:r>
            <w:r>
              <w:rPr>
                <w:rFonts w:hint="eastAsia" w:ascii="宋体" w:hAnsi="宋体"/>
                <w:color w:val="000000"/>
                <w:kern w:val="0"/>
                <w:sz w:val="20"/>
                <w:szCs w:val="20"/>
              </w:rPr>
              <w:t>名）</w:t>
            </w:r>
          </w:p>
        </w:tc>
        <w:tc>
          <w:tcPr>
            <w:tcW w:w="2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体育教育、社会体育、体育、体育学、运动训练、体育教育训练学等相关专业，兼报篮球、排球特长教师须在大学期间获得省级以上比赛二等奖及以上奖项，且为主力队员，所学专业不受限制。</w:t>
            </w: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1421"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11</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小学美术</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3</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（定向：郭巨</w:t>
            </w:r>
            <w:r>
              <w:rPr>
                <w:rFonts w:ascii="宋体" w:hAnsi="宋体"/>
                <w:color w:val="000000"/>
                <w:kern w:val="0"/>
                <w:sz w:val="20"/>
                <w:szCs w:val="20"/>
              </w:rPr>
              <w:t>1</w:t>
            </w:r>
            <w:r>
              <w:rPr>
                <w:rFonts w:hint="eastAsia" w:ascii="宋体" w:hAnsi="宋体"/>
                <w:color w:val="000000"/>
                <w:kern w:val="0"/>
                <w:sz w:val="20"/>
                <w:szCs w:val="20"/>
              </w:rPr>
              <w:t>名）</w:t>
            </w:r>
          </w:p>
        </w:tc>
        <w:tc>
          <w:tcPr>
            <w:tcW w:w="2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美术、美术学、美术教育、美术设计、动漫设计与制作、动画、绘画（书法）、电脑美术设计等各类设计及相关专业</w:t>
            </w: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2455"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12</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小学科学</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ascii="宋体" w:hAnsi="宋体"/>
                <w:color w:val="000000"/>
                <w:kern w:val="0"/>
                <w:sz w:val="20"/>
                <w:szCs w:val="20"/>
              </w:rPr>
              <w:t>2</w:t>
            </w:r>
          </w:p>
        </w:tc>
        <w:tc>
          <w:tcPr>
            <w:tcW w:w="811" w:type="dxa"/>
            <w:tcBorders>
              <w:top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（定向：白峰</w:t>
            </w:r>
            <w:r>
              <w:rPr>
                <w:rFonts w:ascii="宋体" w:hAnsi="宋体"/>
                <w:color w:val="000000"/>
                <w:kern w:val="0"/>
                <w:sz w:val="20"/>
                <w:szCs w:val="20"/>
              </w:rPr>
              <w:t>1</w:t>
            </w:r>
            <w:r>
              <w:rPr>
                <w:rFonts w:hint="eastAsia" w:ascii="宋体" w:hAnsi="宋体"/>
                <w:color w:val="000000"/>
                <w:kern w:val="0"/>
                <w:sz w:val="20"/>
                <w:szCs w:val="20"/>
              </w:rPr>
              <w:t>名））</w:t>
            </w:r>
          </w:p>
        </w:tc>
        <w:tc>
          <w:tcPr>
            <w:tcW w:w="2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物理、物理学、应用物理学、物理教育、化学、应用化学、化学教育、生物、生物科学、生术、生物工程、生物系统工程、生物教育、科学教育、地理科学、地理、地理教育、小学科学等相关专业</w:t>
            </w: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1006" w:hRule="atLeast"/>
        </w:trPr>
        <w:tc>
          <w:tcPr>
            <w:tcW w:w="811"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13</w:t>
            </w: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shd w:val="clear" w:color="auto" w:fill="FFFFFF"/>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小学心理学</w:t>
            </w:r>
          </w:p>
        </w:tc>
        <w:tc>
          <w:tcPr>
            <w:tcW w:w="699" w:type="dxa"/>
            <w:tcBorders>
              <w:top w:val="single" w:color="000000" w:sz="4" w:space="0"/>
              <w:left w:val="single" w:color="000000" w:sz="4" w:space="0"/>
              <w:bottom w:val="single" w:color="000000" w:sz="4" w:space="0"/>
            </w:tcBorders>
            <w:shd w:val="clear" w:color="auto" w:fill="FFFFFF"/>
            <w:vAlign w:val="center"/>
          </w:tcPr>
          <w:p>
            <w:pPr>
              <w:widowControl/>
              <w:jc w:val="right"/>
              <w:textAlignment w:val="center"/>
              <w:rPr>
                <w:rFonts w:ascii="宋体"/>
                <w:color w:val="000000"/>
                <w:sz w:val="20"/>
                <w:szCs w:val="20"/>
              </w:rPr>
            </w:pPr>
            <w:r>
              <w:rPr>
                <w:rFonts w:ascii="宋体" w:hAnsi="宋体"/>
                <w:color w:val="000000"/>
                <w:kern w:val="0"/>
                <w:sz w:val="20"/>
                <w:szCs w:val="20"/>
              </w:rPr>
              <w:t xml:space="preserve">     1</w:t>
            </w:r>
          </w:p>
        </w:tc>
        <w:tc>
          <w:tcPr>
            <w:tcW w:w="811" w:type="dxa"/>
            <w:tcBorders>
              <w:top w:val="single" w:color="000000" w:sz="4" w:space="0"/>
              <w:bottom w:val="single" w:color="000000" w:sz="4" w:space="0"/>
              <w:right w:val="single" w:color="000000" w:sz="4" w:space="0"/>
            </w:tcBorders>
            <w:shd w:val="clear" w:color="auto" w:fill="FFFFFF"/>
            <w:vAlign w:val="center"/>
          </w:tcPr>
          <w:p>
            <w:pPr>
              <w:jc w:val="right"/>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教育心理学、普通心理学、发展心理学、社会心理学等相关专业</w:t>
            </w:r>
          </w:p>
        </w:tc>
        <w:tc>
          <w:tcPr>
            <w:tcW w:w="3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olor w:val="000000"/>
                <w:sz w:val="20"/>
                <w:szCs w:val="20"/>
              </w:rPr>
            </w:pPr>
          </w:p>
        </w:tc>
      </w:tr>
      <w:tr>
        <w:tblPrEx>
          <w:tblLayout w:type="fixed"/>
          <w:tblCellMar>
            <w:top w:w="15" w:type="dxa"/>
            <w:left w:w="15" w:type="dxa"/>
            <w:bottom w:w="15" w:type="dxa"/>
            <w:right w:w="15" w:type="dxa"/>
          </w:tblCellMar>
        </w:tblPrEx>
        <w:trPr>
          <w:trHeight w:val="1755" w:hRule="atLeast"/>
        </w:trPr>
        <w:tc>
          <w:tcPr>
            <w:tcW w:w="811" w:type="dxa"/>
            <w:tcBorders>
              <w:top w:val="single" w:color="000000" w:sz="4" w:space="0"/>
              <w:left w:val="single" w:color="000000" w:sz="4" w:space="0"/>
              <w:bottom w:val="single" w:color="auto" w:sz="4" w:space="0"/>
              <w:right w:val="single" w:color="auto" w:sz="4" w:space="0"/>
            </w:tcBorders>
            <w:vAlign w:val="center"/>
          </w:tcPr>
          <w:p>
            <w:pPr>
              <w:widowControl/>
              <w:jc w:val="center"/>
              <w:textAlignment w:val="center"/>
              <w:rPr>
                <w:rFonts w:ascii="宋体"/>
                <w:color w:val="000000"/>
                <w:kern w:val="0"/>
                <w:sz w:val="20"/>
                <w:szCs w:val="20"/>
              </w:rPr>
            </w:pPr>
            <w:r>
              <w:rPr>
                <w:rFonts w:ascii="宋体" w:hAnsi="宋体"/>
                <w:color w:val="000000"/>
                <w:kern w:val="0"/>
                <w:sz w:val="20"/>
                <w:szCs w:val="20"/>
              </w:rPr>
              <w:t>14</w:t>
            </w:r>
          </w:p>
          <w:p>
            <w:pPr>
              <w:widowControl/>
              <w:jc w:val="center"/>
              <w:textAlignment w:val="center"/>
              <w:rPr>
                <w:rFonts w:ascii="宋体"/>
                <w:color w:val="000000"/>
                <w:sz w:val="20"/>
                <w:szCs w:val="20"/>
              </w:rPr>
            </w:pPr>
          </w:p>
        </w:tc>
        <w:tc>
          <w:tcPr>
            <w:tcW w:w="733" w:type="dxa"/>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auto" w:sz="4" w:space="0"/>
            </w:tcBorders>
            <w:shd w:val="clear" w:color="auto" w:fill="FFFFFF"/>
            <w:vAlign w:val="center"/>
          </w:tcPr>
          <w:p>
            <w:pPr>
              <w:widowControl/>
              <w:jc w:val="center"/>
              <w:textAlignment w:val="center"/>
              <w:rPr>
                <w:rFonts w:ascii="宋体"/>
                <w:color w:val="000000"/>
                <w:kern w:val="0"/>
                <w:sz w:val="20"/>
                <w:szCs w:val="20"/>
              </w:rPr>
            </w:pPr>
            <w:r>
              <w:rPr>
                <w:rFonts w:hint="eastAsia" w:ascii="宋体" w:hAnsi="宋体"/>
                <w:color w:val="000000"/>
                <w:kern w:val="0"/>
                <w:sz w:val="20"/>
                <w:szCs w:val="20"/>
              </w:rPr>
              <w:t>特殊教育（培智）</w:t>
            </w:r>
          </w:p>
          <w:p>
            <w:pPr>
              <w:widowControl/>
              <w:jc w:val="center"/>
              <w:textAlignment w:val="center"/>
              <w:rPr>
                <w:rFonts w:ascii="宋体"/>
                <w:color w:val="000000"/>
                <w:sz w:val="20"/>
                <w:szCs w:val="20"/>
              </w:rPr>
            </w:pPr>
          </w:p>
        </w:tc>
        <w:tc>
          <w:tcPr>
            <w:tcW w:w="1510" w:type="dxa"/>
            <w:gridSpan w:val="2"/>
            <w:tcBorders>
              <w:top w:val="single" w:color="000000" w:sz="4" w:space="0"/>
              <w:left w:val="single" w:color="000000" w:sz="4" w:space="0"/>
              <w:bottom w:val="single" w:color="auto" w:sz="4" w:space="0"/>
              <w:right w:val="single" w:color="000000" w:sz="4" w:space="0"/>
            </w:tcBorders>
            <w:shd w:val="clear" w:color="auto" w:fill="FFFFFF"/>
            <w:vAlign w:val="center"/>
          </w:tcPr>
          <w:p>
            <w:pPr>
              <w:jc w:val="center"/>
              <w:rPr>
                <w:rFonts w:ascii="宋体"/>
                <w:color w:val="000000"/>
                <w:kern w:val="0"/>
                <w:sz w:val="20"/>
                <w:szCs w:val="20"/>
              </w:rPr>
            </w:pPr>
            <w:r>
              <w:rPr>
                <w:rFonts w:ascii="宋体" w:hAnsi="宋体"/>
                <w:color w:val="000000"/>
                <w:kern w:val="0"/>
                <w:sz w:val="20"/>
                <w:szCs w:val="20"/>
              </w:rPr>
              <w:t>1</w:t>
            </w:r>
          </w:p>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kern w:val="0"/>
                <w:sz w:val="20"/>
                <w:szCs w:val="20"/>
              </w:rPr>
            </w:pPr>
            <w:r>
              <w:rPr>
                <w:rFonts w:hint="eastAsia" w:ascii="宋体" w:hAnsi="宋体"/>
                <w:color w:val="000000"/>
                <w:kern w:val="0"/>
                <w:sz w:val="20"/>
                <w:szCs w:val="20"/>
              </w:rPr>
              <w:t>培智方向相关专业</w:t>
            </w:r>
          </w:p>
          <w:p>
            <w:pPr>
              <w:widowControl/>
              <w:jc w:val="left"/>
              <w:textAlignment w:val="center"/>
              <w:rPr>
                <w:rFonts w:ascii="宋体"/>
                <w:color w:val="000000"/>
                <w:sz w:val="20"/>
                <w:szCs w:val="20"/>
              </w:rPr>
            </w:pPr>
          </w:p>
        </w:tc>
        <w:tc>
          <w:tcPr>
            <w:tcW w:w="3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olor w:val="000000"/>
                <w:sz w:val="20"/>
                <w:szCs w:val="20"/>
              </w:rPr>
            </w:pPr>
            <w:r>
              <w:rPr>
                <w:rFonts w:ascii="宋体" w:hAnsi="宋体"/>
                <w:color w:val="000000"/>
                <w:kern w:val="0"/>
                <w:sz w:val="20"/>
                <w:szCs w:val="20"/>
              </w:rPr>
              <w:t>2017</w:t>
            </w:r>
            <w:r>
              <w:rPr>
                <w:rFonts w:hint="eastAsia" w:ascii="宋体" w:hAnsi="宋体"/>
                <w:color w:val="000000"/>
                <w:kern w:val="0"/>
                <w:sz w:val="20"/>
                <w:szCs w:val="20"/>
              </w:rPr>
              <w:t>届全日制普通高校大学本科及以上学历毕业生。</w:t>
            </w:r>
          </w:p>
        </w:tc>
      </w:tr>
      <w:tr>
        <w:tblPrEx>
          <w:tblLayout w:type="fixed"/>
          <w:tblCellMar>
            <w:top w:w="15" w:type="dxa"/>
            <w:left w:w="15" w:type="dxa"/>
            <w:bottom w:w="15" w:type="dxa"/>
            <w:right w:w="15" w:type="dxa"/>
          </w:tblCellMar>
        </w:tblPrEx>
        <w:trPr>
          <w:trHeight w:val="7286" w:hRule="atLeast"/>
        </w:trPr>
        <w:tc>
          <w:tcPr>
            <w:tcW w:w="811"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15</w:t>
            </w: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学前教育</w:t>
            </w:r>
          </w:p>
        </w:tc>
        <w:tc>
          <w:tcPr>
            <w:tcW w:w="811" w:type="dxa"/>
            <w:tcBorders>
              <w:top w:val="single" w:color="auto"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幼儿园教师</w:t>
            </w:r>
          </w:p>
        </w:tc>
        <w:tc>
          <w:tcPr>
            <w:tcW w:w="699" w:type="dxa"/>
            <w:tcBorders>
              <w:top w:val="single" w:color="auto"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 xml:space="preserve">    10</w:t>
            </w:r>
          </w:p>
        </w:tc>
        <w:tc>
          <w:tcPr>
            <w:tcW w:w="811" w:type="dxa"/>
            <w:tcBorders>
              <w:top w:val="single" w:color="auto"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olor w:val="000000"/>
                <w:sz w:val="20"/>
                <w:szCs w:val="20"/>
              </w:rPr>
            </w:pPr>
            <w:r>
              <w:rPr>
                <w:rFonts w:hint="eastAsia" w:ascii="宋体" w:hAnsi="宋体"/>
                <w:color w:val="000000"/>
                <w:kern w:val="0"/>
                <w:sz w:val="20"/>
                <w:szCs w:val="20"/>
              </w:rPr>
              <w:t>学前教育及相关专业</w:t>
            </w:r>
          </w:p>
        </w:tc>
        <w:tc>
          <w:tcPr>
            <w:tcW w:w="3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宋体"/>
                <w:color w:val="000000"/>
                <w:kern w:val="0"/>
                <w:sz w:val="20"/>
                <w:szCs w:val="20"/>
              </w:rPr>
            </w:pPr>
            <w:r>
              <w:rPr>
                <w:rFonts w:hint="eastAsia" w:ascii="宋体" w:hAnsi="宋体"/>
                <w:color w:val="000000"/>
                <w:kern w:val="0"/>
                <w:sz w:val="20"/>
                <w:szCs w:val="20"/>
              </w:rPr>
              <w:t>符合以下条件之一：</w:t>
            </w:r>
          </w:p>
          <w:p>
            <w:pPr>
              <w:widowControl/>
              <w:numPr>
                <w:ilvl w:val="0"/>
                <w:numId w:val="2"/>
              </w:numPr>
              <w:textAlignment w:val="center"/>
              <w:rPr>
                <w:rFonts w:ascii="宋体"/>
                <w:color w:val="000000"/>
                <w:sz w:val="20"/>
                <w:szCs w:val="20"/>
              </w:rPr>
            </w:pPr>
            <w:r>
              <w:rPr>
                <w:rFonts w:hint="eastAsia" w:ascii="宋体" w:hAnsi="宋体"/>
                <w:color w:val="000000"/>
                <w:kern w:val="0"/>
                <w:sz w:val="20"/>
                <w:szCs w:val="20"/>
              </w:rPr>
              <w:t>宁波大市生源的</w:t>
            </w:r>
            <w:r>
              <w:rPr>
                <w:rFonts w:ascii="宋体" w:hAnsi="宋体"/>
                <w:color w:val="000000"/>
                <w:kern w:val="0"/>
                <w:sz w:val="20"/>
                <w:szCs w:val="20"/>
              </w:rPr>
              <w:t>2017</w:t>
            </w:r>
            <w:r>
              <w:rPr>
                <w:rFonts w:hint="eastAsia" w:ascii="宋体" w:hAnsi="宋体"/>
                <w:color w:val="000000"/>
                <w:kern w:val="0"/>
                <w:sz w:val="20"/>
                <w:szCs w:val="20"/>
              </w:rPr>
              <w:t>届全日制普通高校师范类专业大学本科及以上学历应届毕业生；</w:t>
            </w:r>
            <w:r>
              <w:rPr>
                <w:rFonts w:ascii="宋体" w:hAnsi="宋体"/>
                <w:color w:val="000000"/>
                <w:kern w:val="0"/>
                <w:sz w:val="20"/>
                <w:szCs w:val="20"/>
              </w:rPr>
              <w:t>2017</w:t>
            </w:r>
            <w:r>
              <w:rPr>
                <w:rFonts w:hint="eastAsia" w:ascii="宋体" w:hAnsi="宋体"/>
                <w:color w:val="000000"/>
                <w:kern w:val="0"/>
                <w:sz w:val="20"/>
                <w:szCs w:val="20"/>
              </w:rPr>
              <w:t>届全日制部属重点师范类大学（北京师范大学、华东师范大学、华中师范大学、陕西师范大学、西南大学、东北师范大学）及浙师大、杭师大、宁波大学师范类专业本科及以上毕业生生源地可放宽到浙江省。</w:t>
            </w:r>
          </w:p>
          <w:p>
            <w:pPr>
              <w:widowControl/>
              <w:numPr>
                <w:ilvl w:val="0"/>
                <w:numId w:val="2"/>
              </w:numPr>
              <w:textAlignment w:val="center"/>
              <w:rPr>
                <w:rFonts w:ascii="宋体"/>
                <w:color w:val="000000"/>
                <w:sz w:val="20"/>
                <w:szCs w:val="20"/>
              </w:rPr>
            </w:pPr>
            <w:r>
              <w:rPr>
                <w:rFonts w:hint="eastAsia" w:ascii="宋体" w:hAnsi="宋体"/>
                <w:color w:val="000000"/>
                <w:kern w:val="0"/>
                <w:sz w:val="20"/>
                <w:szCs w:val="20"/>
              </w:rPr>
              <w:t>北仑区生源或户籍的</w:t>
            </w:r>
            <w:r>
              <w:rPr>
                <w:rFonts w:ascii="宋体" w:hAnsi="宋体"/>
                <w:color w:val="000000"/>
                <w:kern w:val="0"/>
                <w:sz w:val="20"/>
                <w:szCs w:val="20"/>
              </w:rPr>
              <w:t>2017</w:t>
            </w:r>
            <w:r>
              <w:rPr>
                <w:rFonts w:hint="eastAsia" w:ascii="宋体" w:hAnsi="宋体"/>
                <w:color w:val="000000"/>
                <w:kern w:val="0"/>
                <w:sz w:val="20"/>
                <w:szCs w:val="20"/>
              </w:rPr>
              <w:t>届全日制普通高校学前教育专业大专及以上学历应届毕业生；</w:t>
            </w:r>
            <w:r>
              <w:rPr>
                <w:rFonts w:ascii="宋体" w:hAnsi="宋体"/>
                <w:color w:val="000000"/>
                <w:kern w:val="0"/>
                <w:sz w:val="20"/>
                <w:szCs w:val="20"/>
              </w:rPr>
              <w:t xml:space="preserve"> </w:t>
            </w:r>
          </w:p>
          <w:p>
            <w:pPr>
              <w:widowControl/>
              <w:numPr>
                <w:ilvl w:val="0"/>
                <w:numId w:val="2"/>
              </w:numPr>
              <w:textAlignment w:val="center"/>
              <w:rPr>
                <w:rFonts w:ascii="宋体"/>
                <w:color w:val="000000"/>
                <w:sz w:val="20"/>
                <w:szCs w:val="20"/>
              </w:rPr>
            </w:pPr>
            <w:r>
              <w:rPr>
                <w:rFonts w:ascii="宋体" w:hAnsi="宋体"/>
                <w:color w:val="000000"/>
                <w:kern w:val="0"/>
                <w:sz w:val="20"/>
                <w:szCs w:val="20"/>
              </w:rPr>
              <w:t xml:space="preserve"> 2015</w:t>
            </w:r>
            <w:r>
              <w:rPr>
                <w:rFonts w:hint="eastAsia" w:ascii="宋体" w:hAnsi="宋体"/>
                <w:color w:val="000000"/>
                <w:kern w:val="0"/>
                <w:sz w:val="20"/>
                <w:szCs w:val="20"/>
              </w:rPr>
              <w:t>年</w:t>
            </w:r>
            <w:r>
              <w:rPr>
                <w:rFonts w:ascii="宋体" w:hAnsi="宋体"/>
                <w:color w:val="000000"/>
                <w:kern w:val="0"/>
                <w:sz w:val="20"/>
                <w:szCs w:val="20"/>
              </w:rPr>
              <w:t>9</w:t>
            </w:r>
            <w:r>
              <w:rPr>
                <w:rFonts w:hint="eastAsia" w:ascii="宋体" w:hAnsi="宋体"/>
                <w:color w:val="000000"/>
                <w:kern w:val="0"/>
                <w:sz w:val="20"/>
                <w:szCs w:val="20"/>
              </w:rPr>
              <w:t>月已在北仑区内幼儿园担任临聘教学人员，并至今仍在北仑区内幼儿园任教的具有幼儿园教师资格证的人员，具有国家承认的大专及以上学历。</w:t>
            </w:r>
            <w:r>
              <w:rPr>
                <w:rFonts w:ascii="宋体" w:hAnsi="宋体"/>
                <w:color w:val="000000"/>
                <w:kern w:val="0"/>
                <w:sz w:val="20"/>
                <w:szCs w:val="20"/>
              </w:rPr>
              <w:t xml:space="preserve"> </w:t>
            </w:r>
          </w:p>
          <w:p>
            <w:pPr>
              <w:widowControl/>
              <w:numPr>
                <w:ilvl w:val="0"/>
                <w:numId w:val="2"/>
              </w:numPr>
              <w:textAlignment w:val="center"/>
              <w:rPr>
                <w:rFonts w:ascii="宋体"/>
                <w:color w:val="000000"/>
                <w:sz w:val="20"/>
                <w:szCs w:val="20"/>
              </w:rPr>
            </w:pPr>
            <w:r>
              <w:rPr>
                <w:rFonts w:ascii="宋体" w:hAnsi="宋体"/>
                <w:color w:val="000000"/>
                <w:kern w:val="0"/>
                <w:sz w:val="20"/>
                <w:szCs w:val="20"/>
              </w:rPr>
              <w:t>2016</w:t>
            </w:r>
            <w:r>
              <w:rPr>
                <w:rFonts w:hint="eastAsia" w:ascii="宋体" w:hAnsi="宋体"/>
                <w:color w:val="000000"/>
                <w:kern w:val="0"/>
                <w:sz w:val="20"/>
                <w:szCs w:val="20"/>
              </w:rPr>
              <w:t>年</w:t>
            </w:r>
            <w:r>
              <w:rPr>
                <w:rFonts w:ascii="宋体" w:hAnsi="宋体"/>
                <w:color w:val="000000"/>
                <w:kern w:val="0"/>
                <w:sz w:val="20"/>
                <w:szCs w:val="20"/>
              </w:rPr>
              <w:t>9</w:t>
            </w:r>
            <w:r>
              <w:rPr>
                <w:rFonts w:hint="eastAsia" w:ascii="宋体" w:hAnsi="宋体"/>
                <w:color w:val="000000"/>
                <w:kern w:val="0"/>
                <w:sz w:val="20"/>
                <w:szCs w:val="20"/>
              </w:rPr>
              <w:t>月至今已在北仑区内幼儿园担任临聘教学人员，并至今仍在北仑区内幼儿园任教的</w:t>
            </w:r>
            <w:r>
              <w:rPr>
                <w:rFonts w:ascii="宋体" w:hAnsi="宋体"/>
                <w:color w:val="000000"/>
                <w:kern w:val="0"/>
                <w:sz w:val="20"/>
                <w:szCs w:val="20"/>
              </w:rPr>
              <w:t>2016</w:t>
            </w:r>
            <w:r>
              <w:rPr>
                <w:rFonts w:hint="eastAsia" w:ascii="宋体" w:hAnsi="宋体"/>
                <w:color w:val="000000"/>
                <w:kern w:val="0"/>
                <w:sz w:val="20"/>
                <w:szCs w:val="20"/>
              </w:rPr>
              <w:t>届全日制普通高校学前教育专业大专及以上学历毕业生。</w:t>
            </w:r>
          </w:p>
        </w:tc>
      </w:tr>
      <w:tr>
        <w:tblPrEx>
          <w:tblLayout w:type="fixed"/>
          <w:tblCellMar>
            <w:top w:w="15" w:type="dxa"/>
            <w:left w:w="15" w:type="dxa"/>
            <w:bottom w:w="15" w:type="dxa"/>
            <w:right w:w="15" w:type="dxa"/>
          </w:tblCellMar>
        </w:tblPrEx>
        <w:trPr>
          <w:trHeight w:val="1551"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16</w:t>
            </w:r>
          </w:p>
        </w:tc>
        <w:tc>
          <w:tcPr>
            <w:tcW w:w="7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职高教师（实习指导教师）</w:t>
            </w: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电焊工（实习指导教师）</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汽车检测与维修技术、汽车运用工程、焊接技术与自动化及相关专业</w:t>
            </w:r>
          </w:p>
        </w:tc>
        <w:tc>
          <w:tcPr>
            <w:tcW w:w="3065" w:type="dxa"/>
            <w:vMerge w:val="restart"/>
            <w:tcBorders>
              <w:top w:val="single" w:color="000000" w:sz="4" w:space="0"/>
              <w:left w:val="single" w:color="000000" w:sz="4" w:space="0"/>
              <w:right w:val="single" w:color="auto" w:sz="4" w:space="0"/>
            </w:tcBorders>
            <w:shd w:val="clear" w:color="auto" w:fill="FFFFFF"/>
            <w:vAlign w:val="center"/>
          </w:tcPr>
          <w:p>
            <w:pPr>
              <w:widowControl/>
              <w:jc w:val="left"/>
              <w:textAlignment w:val="center"/>
              <w:rPr>
                <w:rFonts w:ascii="宋体"/>
                <w:color w:val="000000"/>
                <w:sz w:val="20"/>
                <w:szCs w:val="20"/>
              </w:rPr>
            </w:pPr>
            <w:r>
              <w:rPr>
                <w:rFonts w:hint="eastAsia" w:ascii="宋体" w:hAnsi="宋体"/>
                <w:color w:val="000000"/>
                <w:kern w:val="0"/>
                <w:sz w:val="20"/>
                <w:szCs w:val="20"/>
                <w:lang w:eastAsia="zh-CN"/>
              </w:rPr>
              <w:t>职高教师岗位</w:t>
            </w:r>
            <w:r>
              <w:rPr>
                <w:rFonts w:hint="eastAsia" w:ascii="宋体" w:hAnsi="宋体"/>
                <w:color w:val="000000"/>
                <w:kern w:val="0"/>
                <w:sz w:val="20"/>
                <w:szCs w:val="20"/>
              </w:rPr>
              <w:t>须</w:t>
            </w:r>
            <w:r>
              <w:rPr>
                <w:rFonts w:hint="eastAsia" w:ascii="宋体" w:hAnsi="宋体"/>
                <w:color w:val="000000"/>
                <w:kern w:val="0"/>
                <w:sz w:val="20"/>
                <w:szCs w:val="20"/>
                <w:lang w:eastAsia="zh-CN"/>
              </w:rPr>
              <w:t>符合</w:t>
            </w:r>
            <w:r>
              <w:rPr>
                <w:rFonts w:hint="eastAsia" w:ascii="宋体" w:hAnsi="宋体"/>
                <w:color w:val="000000"/>
                <w:kern w:val="0"/>
                <w:sz w:val="20"/>
                <w:szCs w:val="20"/>
              </w:rPr>
              <w:t>以下两个条件之一</w:t>
            </w:r>
            <w:r>
              <w:rPr>
                <w:rFonts w:hint="eastAsia" w:ascii="宋体" w:hAnsi="宋体"/>
                <w:color w:val="000000"/>
                <w:kern w:val="0"/>
                <w:sz w:val="20"/>
                <w:szCs w:val="20"/>
                <w:lang w:eastAsia="zh-CN"/>
              </w:rPr>
              <w:t>，其中</w:t>
            </w:r>
            <w:r>
              <w:rPr>
                <w:rFonts w:hint="eastAsia" w:ascii="宋体" w:hAnsi="宋体"/>
                <w:color w:val="000000"/>
                <w:kern w:val="0"/>
                <w:sz w:val="20"/>
                <w:szCs w:val="20"/>
              </w:rPr>
              <w:t>实习指导教师岗位</w:t>
            </w:r>
            <w:r>
              <w:rPr>
                <w:rFonts w:hint="eastAsia" w:ascii="宋体" w:hAnsi="宋体"/>
                <w:color w:val="000000"/>
                <w:kern w:val="0"/>
                <w:sz w:val="20"/>
                <w:szCs w:val="20"/>
                <w:lang w:eastAsia="zh-CN"/>
              </w:rPr>
              <w:t>必须符合以下第一个条件（</w:t>
            </w:r>
            <w:r>
              <w:rPr>
                <w:rFonts w:hint="eastAsia" w:ascii="宋体" w:hAnsi="宋体"/>
                <w:color w:val="000000"/>
                <w:kern w:val="0"/>
                <w:sz w:val="20"/>
                <w:szCs w:val="20"/>
              </w:rPr>
              <w:t>学历可放宽到全日制大专</w:t>
            </w:r>
            <w:r>
              <w:rPr>
                <w:rFonts w:hint="eastAsia" w:ascii="宋体" w:hAnsi="宋体"/>
                <w:color w:val="000000"/>
                <w:kern w:val="0"/>
                <w:sz w:val="20"/>
                <w:szCs w:val="20"/>
                <w:lang w:eastAsia="zh-CN"/>
              </w:rPr>
              <w:t>）：</w:t>
            </w:r>
          </w:p>
          <w:p>
            <w:pPr>
              <w:widowControl/>
              <w:jc w:val="left"/>
              <w:textAlignment w:val="center"/>
              <w:rPr>
                <w:rFonts w:ascii="宋体"/>
                <w:color w:val="000000"/>
                <w:kern w:val="0"/>
                <w:sz w:val="20"/>
                <w:szCs w:val="20"/>
              </w:rPr>
            </w:pPr>
            <w:r>
              <w:rPr>
                <w:rFonts w:ascii="宋体" w:hAnsi="宋体"/>
                <w:color w:val="000000"/>
                <w:kern w:val="0"/>
                <w:sz w:val="20"/>
                <w:szCs w:val="20"/>
              </w:rPr>
              <w:t>1</w:t>
            </w:r>
            <w:r>
              <w:rPr>
                <w:rFonts w:hint="eastAsia" w:ascii="宋体" w:hAnsi="宋体"/>
                <w:color w:val="000000"/>
                <w:kern w:val="0"/>
                <w:sz w:val="20"/>
                <w:szCs w:val="20"/>
              </w:rPr>
              <w:t>、全日制本科及以上学历，并具有以下四个条件</w:t>
            </w:r>
            <w:r>
              <w:rPr>
                <w:rFonts w:hint="eastAsia" w:ascii="宋体" w:hAnsi="宋体"/>
                <w:color w:val="000000"/>
                <w:kern w:val="0"/>
                <w:sz w:val="20"/>
                <w:szCs w:val="20"/>
                <w:lang w:eastAsia="zh-CN"/>
              </w:rPr>
              <w:t>之</w:t>
            </w:r>
            <w:r>
              <w:rPr>
                <w:rFonts w:hint="eastAsia" w:ascii="宋体" w:hAnsi="宋体"/>
                <w:color w:val="000000"/>
                <w:kern w:val="0"/>
                <w:sz w:val="20"/>
                <w:szCs w:val="20"/>
              </w:rPr>
              <w:t>一：</w:t>
            </w:r>
          </w:p>
          <w:p>
            <w:pPr>
              <w:widowControl/>
              <w:textAlignment w:val="center"/>
              <w:rPr>
                <w:rFonts w:ascii="宋体"/>
                <w:color w:val="000000"/>
                <w:kern w:val="0"/>
                <w:sz w:val="20"/>
                <w:szCs w:val="20"/>
              </w:rPr>
            </w:pPr>
            <w:r>
              <w:rPr>
                <w:rFonts w:hint="eastAsia" w:ascii="宋体" w:hAnsi="宋体"/>
                <w:color w:val="000000"/>
                <w:kern w:val="0"/>
                <w:sz w:val="20"/>
                <w:szCs w:val="20"/>
              </w:rPr>
              <w:t>①世界技能大赛国家集训队成员；②获得省级职业院校或普通高校相关技能大赛一等奖及以上；</w:t>
            </w:r>
          </w:p>
          <w:p>
            <w:pPr>
              <w:widowControl/>
              <w:textAlignment w:val="center"/>
              <w:rPr>
                <w:rFonts w:ascii="宋体"/>
                <w:color w:val="000000"/>
                <w:kern w:val="0"/>
                <w:sz w:val="20"/>
                <w:szCs w:val="20"/>
              </w:rPr>
            </w:pPr>
            <w:r>
              <w:rPr>
                <w:rFonts w:hint="eastAsia" w:ascii="宋体" w:hAnsi="宋体"/>
                <w:color w:val="000000"/>
                <w:kern w:val="0"/>
                <w:sz w:val="20"/>
                <w:szCs w:val="20"/>
              </w:rPr>
              <w:t>③指导学生获得地市级职业院校相关技能大赛二等及以上奖项的指导教师。</w:t>
            </w:r>
          </w:p>
          <w:p>
            <w:pPr>
              <w:widowControl/>
              <w:textAlignment w:val="center"/>
              <w:rPr>
                <w:rFonts w:ascii="宋体"/>
                <w:color w:val="000000"/>
                <w:kern w:val="0"/>
                <w:sz w:val="20"/>
                <w:szCs w:val="20"/>
              </w:rPr>
            </w:pPr>
            <w:r>
              <w:rPr>
                <w:rFonts w:hint="eastAsia" w:ascii="宋体" w:hAnsi="宋体"/>
                <w:color w:val="000000"/>
                <w:kern w:val="0"/>
                <w:sz w:val="20"/>
                <w:szCs w:val="20"/>
              </w:rPr>
              <w:t>④具有中职工及以上技能证书（证书由人社部门颁发）。</w:t>
            </w:r>
          </w:p>
          <w:p>
            <w:pPr>
              <w:textAlignment w:val="center"/>
              <w:rPr>
                <w:rFonts w:ascii="宋体"/>
                <w:color w:val="000000"/>
                <w:sz w:val="20"/>
                <w:szCs w:val="20"/>
              </w:rPr>
            </w:pPr>
            <w:r>
              <w:rPr>
                <w:rFonts w:ascii="宋体" w:hAnsi="宋体"/>
                <w:color w:val="000000"/>
                <w:kern w:val="0"/>
                <w:sz w:val="20"/>
                <w:szCs w:val="20"/>
              </w:rPr>
              <w:t>2.2017</w:t>
            </w:r>
            <w:r>
              <w:rPr>
                <w:rFonts w:hint="eastAsia" w:ascii="宋体" w:hAnsi="宋体"/>
                <w:color w:val="000000"/>
                <w:kern w:val="0"/>
                <w:sz w:val="20"/>
                <w:szCs w:val="20"/>
              </w:rPr>
              <w:t>年全日制普通高校大学本科及以上学历毕业生，研究生学历者</w:t>
            </w:r>
            <w:r>
              <w:rPr>
                <w:rFonts w:hint="eastAsia" w:ascii="宋体" w:hAnsi="宋体"/>
                <w:color w:val="000000"/>
                <w:kern w:val="0"/>
                <w:sz w:val="20"/>
                <w:szCs w:val="20"/>
                <w:lang w:eastAsia="zh-CN"/>
              </w:rPr>
              <w:t>须</w:t>
            </w:r>
            <w:r>
              <w:rPr>
                <w:rFonts w:hint="eastAsia" w:ascii="宋体" w:hAnsi="宋体"/>
                <w:color w:val="000000"/>
                <w:kern w:val="0"/>
                <w:sz w:val="20"/>
                <w:szCs w:val="20"/>
              </w:rPr>
              <w:t>本硕连续。</w:t>
            </w:r>
          </w:p>
        </w:tc>
      </w:tr>
      <w:tr>
        <w:tblPrEx>
          <w:tblLayout w:type="fixed"/>
          <w:tblCellMar>
            <w:top w:w="15" w:type="dxa"/>
            <w:left w:w="15" w:type="dxa"/>
            <w:bottom w:w="15" w:type="dxa"/>
            <w:right w:w="15" w:type="dxa"/>
          </w:tblCellMar>
        </w:tblPrEx>
        <w:trPr>
          <w:trHeight w:val="905"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17</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园林（实习指导教师）</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olor w:val="000000"/>
                <w:sz w:val="20"/>
                <w:szCs w:val="20"/>
              </w:rPr>
            </w:pPr>
            <w:r>
              <w:rPr>
                <w:rFonts w:hint="eastAsia" w:ascii="宋体" w:hAnsi="宋体"/>
                <w:color w:val="000000"/>
                <w:kern w:val="0"/>
                <w:sz w:val="20"/>
                <w:szCs w:val="20"/>
              </w:rPr>
              <w:t>园林、园艺及相关专业</w:t>
            </w:r>
          </w:p>
        </w:tc>
        <w:tc>
          <w:tcPr>
            <w:tcW w:w="3065" w:type="dxa"/>
            <w:vMerge w:val="continue"/>
            <w:tcBorders>
              <w:left w:val="single" w:color="000000" w:sz="4" w:space="0"/>
              <w:right w:val="single" w:color="auto" w:sz="4" w:space="0"/>
            </w:tcBorders>
            <w:shd w:val="clear" w:color="auto" w:fill="FFFFFF"/>
            <w:vAlign w:val="center"/>
          </w:tcPr>
          <w:p>
            <w:pPr>
              <w:textAlignment w:val="center"/>
              <w:rPr>
                <w:rFonts w:ascii="宋体"/>
                <w:color w:val="000000"/>
                <w:sz w:val="20"/>
                <w:szCs w:val="20"/>
              </w:rPr>
            </w:pPr>
          </w:p>
        </w:tc>
      </w:tr>
      <w:tr>
        <w:tblPrEx>
          <w:tblLayout w:type="fixed"/>
          <w:tblCellMar>
            <w:top w:w="15" w:type="dxa"/>
            <w:left w:w="15" w:type="dxa"/>
            <w:bottom w:w="15" w:type="dxa"/>
            <w:right w:w="15" w:type="dxa"/>
          </w:tblCellMar>
        </w:tblPrEx>
        <w:trPr>
          <w:trHeight w:val="1077"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18</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模具设计与制造</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模具设计与制造、机械设计制造与自动化、材料成型与控制技术、机械电子工程及相关专业</w:t>
            </w:r>
          </w:p>
        </w:tc>
        <w:tc>
          <w:tcPr>
            <w:tcW w:w="3065" w:type="dxa"/>
            <w:vMerge w:val="continue"/>
            <w:tcBorders>
              <w:left w:val="single" w:color="000000" w:sz="4" w:space="0"/>
              <w:right w:val="single" w:color="auto" w:sz="4" w:space="0"/>
            </w:tcBorders>
            <w:shd w:val="clear" w:color="auto" w:fill="FFFFFF"/>
            <w:vAlign w:val="center"/>
          </w:tcPr>
          <w:p>
            <w:pPr>
              <w:textAlignment w:val="center"/>
              <w:rPr>
                <w:rFonts w:ascii="宋体"/>
                <w:color w:val="000000"/>
                <w:sz w:val="20"/>
                <w:szCs w:val="20"/>
              </w:rPr>
            </w:pPr>
          </w:p>
        </w:tc>
      </w:tr>
      <w:tr>
        <w:tblPrEx>
          <w:tblLayout w:type="fixed"/>
          <w:tblCellMar>
            <w:top w:w="15" w:type="dxa"/>
            <w:left w:w="15" w:type="dxa"/>
            <w:bottom w:w="15" w:type="dxa"/>
            <w:right w:w="15" w:type="dxa"/>
          </w:tblCellMar>
        </w:tblPrEx>
        <w:trPr>
          <w:trHeight w:val="733"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19</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摄影摄像</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摄影、广播电视编导、素质媒体技术及相关专业</w:t>
            </w:r>
          </w:p>
        </w:tc>
        <w:tc>
          <w:tcPr>
            <w:tcW w:w="3065" w:type="dxa"/>
            <w:vMerge w:val="continue"/>
            <w:tcBorders>
              <w:left w:val="single" w:color="000000" w:sz="4" w:space="0"/>
              <w:right w:val="single" w:color="auto" w:sz="4" w:space="0"/>
            </w:tcBorders>
            <w:shd w:val="clear" w:color="auto" w:fill="FFFFFF"/>
            <w:vAlign w:val="center"/>
          </w:tcPr>
          <w:p>
            <w:pPr>
              <w:textAlignment w:val="center"/>
              <w:rPr>
                <w:rFonts w:ascii="宋体"/>
                <w:color w:val="000000"/>
                <w:sz w:val="20"/>
                <w:szCs w:val="20"/>
              </w:rPr>
            </w:pPr>
          </w:p>
        </w:tc>
      </w:tr>
      <w:tr>
        <w:tblPrEx>
          <w:tblLayout w:type="fixed"/>
          <w:tblCellMar>
            <w:top w:w="15" w:type="dxa"/>
            <w:left w:w="15" w:type="dxa"/>
            <w:bottom w:w="15" w:type="dxa"/>
            <w:right w:w="15" w:type="dxa"/>
          </w:tblCellMar>
        </w:tblPrEx>
        <w:trPr>
          <w:trHeight w:val="733"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20</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电子商务</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电子商务、财务会计、市场营销及相关专业</w:t>
            </w:r>
          </w:p>
        </w:tc>
        <w:tc>
          <w:tcPr>
            <w:tcW w:w="3065" w:type="dxa"/>
            <w:vMerge w:val="continue"/>
            <w:tcBorders>
              <w:left w:val="single" w:color="000000" w:sz="4" w:space="0"/>
              <w:right w:val="single" w:color="auto" w:sz="4" w:space="0"/>
            </w:tcBorders>
            <w:shd w:val="clear" w:color="auto" w:fill="FFFFFF"/>
            <w:vAlign w:val="center"/>
          </w:tcPr>
          <w:p>
            <w:pPr>
              <w:textAlignment w:val="center"/>
              <w:rPr>
                <w:rFonts w:ascii="宋体"/>
                <w:color w:val="000000"/>
                <w:sz w:val="20"/>
                <w:szCs w:val="20"/>
              </w:rPr>
            </w:pPr>
          </w:p>
        </w:tc>
      </w:tr>
      <w:tr>
        <w:tblPrEx>
          <w:tblLayout w:type="fixed"/>
          <w:tblCellMar>
            <w:top w:w="15" w:type="dxa"/>
            <w:left w:w="15" w:type="dxa"/>
            <w:bottom w:w="15" w:type="dxa"/>
            <w:right w:w="15" w:type="dxa"/>
          </w:tblCellMar>
        </w:tblPrEx>
        <w:trPr>
          <w:trHeight w:val="733"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21</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形象设计</w:t>
            </w:r>
          </w:p>
        </w:tc>
        <w:tc>
          <w:tcPr>
            <w:tcW w:w="699" w:type="dxa"/>
            <w:tcBorders>
              <w:top w:val="single" w:color="000000" w:sz="4" w:space="0"/>
              <w:left w:val="single" w:color="000000" w:sz="4" w:space="0"/>
              <w:bottom w:val="single" w:color="000000" w:sz="4" w:space="0"/>
            </w:tcBorders>
            <w:vAlign w:val="center"/>
          </w:tcPr>
          <w:p>
            <w:pPr>
              <w:widowControl/>
              <w:jc w:val="right"/>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人物与形象造型、形象设计及相关专业</w:t>
            </w:r>
          </w:p>
        </w:tc>
        <w:tc>
          <w:tcPr>
            <w:tcW w:w="3065" w:type="dxa"/>
            <w:vMerge w:val="continue"/>
            <w:tcBorders>
              <w:left w:val="single" w:color="000000" w:sz="4" w:space="0"/>
              <w:bottom w:val="single" w:color="auto" w:sz="4" w:space="0"/>
              <w:right w:val="single" w:color="auto" w:sz="4" w:space="0"/>
            </w:tcBorders>
            <w:shd w:val="clear" w:color="auto" w:fill="FFFFFF"/>
            <w:vAlign w:val="center"/>
          </w:tcPr>
          <w:p>
            <w:pPr>
              <w:widowControl/>
              <w:textAlignment w:val="center"/>
              <w:rPr>
                <w:rFonts w:ascii="宋体"/>
                <w:color w:val="000000"/>
                <w:sz w:val="20"/>
                <w:szCs w:val="20"/>
              </w:rPr>
            </w:pPr>
          </w:p>
        </w:tc>
      </w:tr>
      <w:tr>
        <w:tblPrEx>
          <w:tblLayout w:type="fixed"/>
          <w:tblCellMar>
            <w:top w:w="15" w:type="dxa"/>
            <w:left w:w="15" w:type="dxa"/>
            <w:bottom w:w="15" w:type="dxa"/>
            <w:right w:w="15" w:type="dxa"/>
          </w:tblCellMar>
        </w:tblPrEx>
        <w:trPr>
          <w:trHeight w:val="574" w:hRule="atLeast"/>
        </w:trPr>
        <w:tc>
          <w:tcPr>
            <w:tcW w:w="8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22</w:t>
            </w: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811"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hint="eastAsia" w:ascii="宋体" w:hAnsi="宋体"/>
                <w:color w:val="000000"/>
                <w:kern w:val="0"/>
                <w:sz w:val="20"/>
                <w:szCs w:val="20"/>
              </w:rPr>
              <w:t>物流管理</w:t>
            </w:r>
          </w:p>
        </w:tc>
        <w:tc>
          <w:tcPr>
            <w:tcW w:w="699" w:type="dxa"/>
            <w:tcBorders>
              <w:top w:val="single" w:color="000000" w:sz="4" w:space="0"/>
              <w:left w:val="single" w:color="000000" w:sz="4" w:space="0"/>
              <w:bottom w:val="single" w:color="000000" w:sz="4" w:space="0"/>
            </w:tcBorders>
            <w:vAlign w:val="center"/>
          </w:tcPr>
          <w:p>
            <w:pPr>
              <w:widowControl/>
              <w:jc w:val="center"/>
              <w:textAlignment w:val="center"/>
              <w:rPr>
                <w:rFonts w:ascii="宋体"/>
                <w:color w:val="000000"/>
                <w:sz w:val="20"/>
                <w:szCs w:val="20"/>
              </w:rPr>
            </w:pPr>
            <w:r>
              <w:rPr>
                <w:rFonts w:ascii="宋体" w:hAnsi="宋体"/>
                <w:color w:val="000000"/>
                <w:kern w:val="0"/>
                <w:sz w:val="20"/>
                <w:szCs w:val="20"/>
              </w:rPr>
              <w:t>1</w:t>
            </w:r>
          </w:p>
        </w:tc>
        <w:tc>
          <w:tcPr>
            <w:tcW w:w="811" w:type="dxa"/>
            <w:tcBorders>
              <w:top w:val="single" w:color="000000" w:sz="4" w:space="0"/>
              <w:bottom w:val="single" w:color="000000" w:sz="4" w:space="0"/>
              <w:right w:val="single" w:color="000000" w:sz="4" w:space="0"/>
            </w:tcBorders>
            <w:vAlign w:val="center"/>
          </w:tcPr>
          <w:p>
            <w:pPr>
              <w:jc w:val="center"/>
              <w:rPr>
                <w:rFonts w:ascii="宋体"/>
                <w:color w:val="000000"/>
                <w:sz w:val="20"/>
                <w:szCs w:val="20"/>
              </w:rPr>
            </w:pP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物流工程、物流管理及相关专业</w:t>
            </w:r>
          </w:p>
        </w:tc>
        <w:tc>
          <w:tcPr>
            <w:tcW w:w="3065" w:type="dxa"/>
            <w:vMerge w:val="continue"/>
            <w:tcBorders>
              <w:top w:val="single" w:color="auto" w:sz="4" w:space="0"/>
              <w:left w:val="single" w:color="000000" w:sz="4" w:space="0"/>
              <w:bottom w:val="single" w:color="auto" w:sz="4" w:space="0"/>
              <w:right w:val="single" w:color="auto" w:sz="4" w:space="0"/>
            </w:tcBorders>
            <w:shd w:val="clear" w:color="auto" w:fill="FFFFFF"/>
            <w:vAlign w:val="center"/>
          </w:tcPr>
          <w:p>
            <w:pPr>
              <w:rPr>
                <w:rFonts w:ascii="宋体"/>
                <w:color w:val="000000"/>
                <w:sz w:val="20"/>
                <w:szCs w:val="20"/>
              </w:rPr>
            </w:pPr>
          </w:p>
        </w:tc>
      </w:tr>
      <w:tr>
        <w:tblPrEx>
          <w:tblLayout w:type="fixed"/>
          <w:tblCellMar>
            <w:top w:w="15" w:type="dxa"/>
            <w:left w:w="15" w:type="dxa"/>
            <w:bottom w:w="15" w:type="dxa"/>
            <w:right w:w="15" w:type="dxa"/>
          </w:tblCellMar>
        </w:tblPrEx>
        <w:trPr>
          <w:trHeight w:val="388" w:hRule="atLeast"/>
        </w:trPr>
        <w:tc>
          <w:tcPr>
            <w:tcW w:w="811" w:type="dxa"/>
            <w:tcBorders>
              <w:top w:val="single" w:color="000000" w:sz="4" w:space="0"/>
              <w:left w:val="single" w:color="000000" w:sz="4" w:space="0"/>
              <w:right w:val="single" w:color="000000" w:sz="4" w:space="0"/>
            </w:tcBorders>
            <w:vAlign w:val="center"/>
          </w:tcPr>
          <w:p>
            <w:pPr>
              <w:jc w:val="center"/>
              <w:rPr>
                <w:rFonts w:ascii="宋体"/>
                <w:color w:val="000000"/>
                <w:sz w:val="20"/>
                <w:szCs w:val="20"/>
              </w:rPr>
            </w:pPr>
          </w:p>
        </w:tc>
        <w:tc>
          <w:tcPr>
            <w:tcW w:w="733" w:type="dxa"/>
            <w:tcBorders>
              <w:top w:val="single" w:color="000000" w:sz="4" w:space="0"/>
              <w:left w:val="single" w:color="000000" w:sz="4" w:space="0"/>
              <w:right w:val="single" w:color="000000" w:sz="4" w:space="0"/>
            </w:tcBorders>
            <w:vAlign w:val="center"/>
          </w:tcPr>
          <w:p>
            <w:pPr>
              <w:jc w:val="center"/>
              <w:rPr>
                <w:rFonts w:ascii="宋体"/>
                <w:color w:val="000000"/>
                <w:sz w:val="24"/>
              </w:rPr>
            </w:pPr>
          </w:p>
        </w:tc>
        <w:tc>
          <w:tcPr>
            <w:tcW w:w="811" w:type="dxa"/>
            <w:tcBorders>
              <w:top w:val="single" w:color="000000" w:sz="4" w:space="0"/>
              <w:left w:val="single" w:color="000000" w:sz="4" w:space="0"/>
            </w:tcBorders>
            <w:vAlign w:val="center"/>
          </w:tcPr>
          <w:p>
            <w:pPr>
              <w:widowControl/>
              <w:jc w:val="center"/>
              <w:textAlignment w:val="center"/>
              <w:rPr>
                <w:rFonts w:ascii="宋体"/>
                <w:color w:val="000000"/>
                <w:sz w:val="24"/>
              </w:rPr>
            </w:pPr>
            <w:r>
              <w:rPr>
                <w:rFonts w:hint="eastAsia" w:ascii="宋体" w:hAnsi="宋体"/>
                <w:color w:val="000000"/>
                <w:kern w:val="0"/>
                <w:sz w:val="24"/>
              </w:rPr>
              <w:t>合计</w:t>
            </w:r>
          </w:p>
        </w:tc>
        <w:tc>
          <w:tcPr>
            <w:tcW w:w="699" w:type="dxa"/>
            <w:tcBorders>
              <w:top w:val="single" w:color="000000" w:sz="4" w:space="0"/>
              <w:left w:val="single" w:color="000000" w:sz="4" w:space="0"/>
            </w:tcBorders>
            <w:vAlign w:val="center"/>
          </w:tcPr>
          <w:p>
            <w:pPr>
              <w:widowControl/>
              <w:jc w:val="center"/>
              <w:textAlignment w:val="center"/>
              <w:rPr>
                <w:rFonts w:ascii="宋体"/>
                <w:color w:val="000000"/>
                <w:sz w:val="24"/>
              </w:rPr>
            </w:pPr>
            <w:r>
              <w:rPr>
                <w:rFonts w:ascii="宋体" w:hAnsi="宋体"/>
                <w:color w:val="000000"/>
                <w:kern w:val="0"/>
                <w:sz w:val="24"/>
              </w:rPr>
              <w:t>68</w:t>
            </w:r>
          </w:p>
        </w:tc>
        <w:tc>
          <w:tcPr>
            <w:tcW w:w="811" w:type="dxa"/>
            <w:tcBorders>
              <w:top w:val="single" w:color="000000" w:sz="4" w:space="0"/>
              <w:right w:val="single" w:color="000000" w:sz="4" w:space="0"/>
            </w:tcBorders>
            <w:vAlign w:val="center"/>
          </w:tcPr>
          <w:p>
            <w:pPr>
              <w:jc w:val="center"/>
              <w:rPr>
                <w:rFonts w:ascii="宋体"/>
                <w:color w:val="000000"/>
                <w:sz w:val="24"/>
              </w:rPr>
            </w:pPr>
          </w:p>
        </w:tc>
        <w:tc>
          <w:tcPr>
            <w:tcW w:w="2050" w:type="dxa"/>
            <w:tcBorders>
              <w:top w:val="single" w:color="000000" w:sz="4" w:space="0"/>
              <w:left w:val="single" w:color="000000" w:sz="4" w:space="0"/>
              <w:right w:val="single" w:color="000000" w:sz="4" w:space="0"/>
            </w:tcBorders>
            <w:vAlign w:val="center"/>
          </w:tcPr>
          <w:p>
            <w:pPr>
              <w:jc w:val="center"/>
              <w:rPr>
                <w:rFonts w:ascii="宋体"/>
                <w:color w:val="000000"/>
                <w:sz w:val="24"/>
              </w:rPr>
            </w:pPr>
          </w:p>
        </w:tc>
        <w:tc>
          <w:tcPr>
            <w:tcW w:w="3065" w:type="dxa"/>
            <w:tcBorders>
              <w:top w:val="single" w:color="auto" w:sz="4" w:space="0"/>
              <w:left w:val="single" w:color="000000" w:sz="4" w:space="0"/>
              <w:right w:val="single" w:color="000000" w:sz="4" w:space="0"/>
            </w:tcBorders>
            <w:vAlign w:val="center"/>
          </w:tcPr>
          <w:p>
            <w:pPr>
              <w:jc w:val="center"/>
              <w:rPr>
                <w:rFonts w:ascii="宋体"/>
                <w:color w:val="000000"/>
                <w:sz w:val="24"/>
              </w:rPr>
            </w:pPr>
          </w:p>
        </w:tc>
      </w:tr>
      <w:tr>
        <w:tblPrEx>
          <w:tblLayout w:type="fixed"/>
          <w:tblCellMar>
            <w:top w:w="15" w:type="dxa"/>
            <w:left w:w="15" w:type="dxa"/>
            <w:bottom w:w="15" w:type="dxa"/>
            <w:right w:w="15" w:type="dxa"/>
          </w:tblCellMar>
        </w:tblPrEx>
        <w:trPr>
          <w:trHeight w:val="388" w:hRule="atLeast"/>
        </w:trPr>
        <w:tc>
          <w:tcPr>
            <w:tcW w:w="8980" w:type="dxa"/>
            <w:gridSpan w:val="7"/>
            <w:tcBorders>
              <w:top w:val="single" w:color="000000" w:sz="4" w:space="0"/>
              <w:left w:val="single" w:color="000000" w:sz="4" w:space="0"/>
              <w:right w:val="single" w:color="000000" w:sz="4" w:space="0"/>
            </w:tcBorders>
            <w:vAlign w:val="center"/>
          </w:tcPr>
          <w:p>
            <w:pPr>
              <w:widowControl/>
              <w:jc w:val="left"/>
              <w:textAlignment w:val="center"/>
              <w:rPr>
                <w:rFonts w:ascii="宋体"/>
                <w:color w:val="000000"/>
                <w:sz w:val="20"/>
                <w:szCs w:val="20"/>
              </w:rPr>
            </w:pPr>
            <w:r>
              <w:rPr>
                <w:rFonts w:hint="eastAsia" w:ascii="宋体" w:hAnsi="宋体"/>
                <w:color w:val="000000"/>
                <w:kern w:val="0"/>
                <w:sz w:val="20"/>
                <w:szCs w:val="20"/>
              </w:rPr>
              <w:t>备注：</w:t>
            </w:r>
            <w:r>
              <w:rPr>
                <w:rFonts w:ascii="宋体" w:hAnsi="宋体"/>
                <w:color w:val="000000"/>
                <w:kern w:val="0"/>
                <w:sz w:val="20"/>
                <w:szCs w:val="20"/>
              </w:rPr>
              <w:t>1.</w:t>
            </w:r>
            <w:r>
              <w:rPr>
                <w:rFonts w:hint="eastAsia" w:ascii="宋体" w:hAnsi="宋体"/>
                <w:color w:val="000000"/>
                <w:kern w:val="0"/>
                <w:sz w:val="20"/>
                <w:szCs w:val="20"/>
              </w:rPr>
              <w:t>留学人员凭教育部中国留学服务中心出具的境外学历、学位认证书报名。</w:t>
            </w:r>
          </w:p>
        </w:tc>
      </w:tr>
      <w:tr>
        <w:tblPrEx>
          <w:tblLayout w:type="fixed"/>
          <w:tblCellMar>
            <w:top w:w="15" w:type="dxa"/>
            <w:left w:w="15" w:type="dxa"/>
            <w:bottom w:w="15" w:type="dxa"/>
            <w:right w:w="15" w:type="dxa"/>
          </w:tblCellMar>
        </w:tblPrEx>
        <w:trPr>
          <w:trHeight w:val="722" w:hRule="atLeast"/>
        </w:trPr>
        <w:tc>
          <w:tcPr>
            <w:tcW w:w="8980" w:type="dxa"/>
            <w:gridSpan w:val="7"/>
            <w:tcBorders>
              <w:left w:val="single" w:color="000000" w:sz="4" w:space="0"/>
              <w:right w:val="single" w:color="000000" w:sz="4" w:space="0"/>
            </w:tcBorders>
            <w:vAlign w:val="center"/>
          </w:tcPr>
          <w:p>
            <w:pPr>
              <w:widowControl/>
              <w:jc w:val="left"/>
              <w:textAlignment w:val="center"/>
              <w:rPr>
                <w:rFonts w:ascii="宋体"/>
                <w:color w:val="000000"/>
                <w:sz w:val="20"/>
                <w:szCs w:val="20"/>
              </w:rPr>
            </w:pPr>
            <w:r>
              <w:rPr>
                <w:rFonts w:ascii="宋体" w:hAnsi="宋体"/>
                <w:color w:val="000000"/>
                <w:kern w:val="0"/>
                <w:sz w:val="20"/>
                <w:szCs w:val="20"/>
              </w:rPr>
              <w:t>2016</w:t>
            </w:r>
            <w:r>
              <w:rPr>
                <w:rFonts w:hint="eastAsia" w:ascii="宋体" w:hAnsi="宋体"/>
                <w:color w:val="000000"/>
                <w:kern w:val="0"/>
                <w:sz w:val="20"/>
                <w:szCs w:val="20"/>
              </w:rPr>
              <w:t>年</w:t>
            </w:r>
            <w:r>
              <w:rPr>
                <w:rFonts w:ascii="宋体" w:hAnsi="宋体"/>
                <w:color w:val="000000"/>
                <w:kern w:val="0"/>
                <w:sz w:val="20"/>
                <w:szCs w:val="20"/>
              </w:rPr>
              <w:t>9</w:t>
            </w:r>
            <w:r>
              <w:rPr>
                <w:rFonts w:hint="eastAsia" w:ascii="宋体" w:hAnsi="宋体"/>
                <w:color w:val="000000"/>
                <w:kern w:val="0"/>
                <w:sz w:val="20"/>
                <w:szCs w:val="20"/>
              </w:rPr>
              <w:t>月至</w:t>
            </w:r>
            <w:r>
              <w:rPr>
                <w:rFonts w:ascii="宋体" w:hAnsi="宋体"/>
                <w:color w:val="000000"/>
                <w:kern w:val="0"/>
                <w:sz w:val="20"/>
                <w:szCs w:val="20"/>
              </w:rPr>
              <w:t>2017</w:t>
            </w:r>
            <w:r>
              <w:rPr>
                <w:rFonts w:hint="eastAsia" w:ascii="宋体" w:hAnsi="宋体"/>
                <w:color w:val="000000"/>
                <w:kern w:val="0"/>
                <w:sz w:val="20"/>
                <w:szCs w:val="20"/>
              </w:rPr>
              <w:t>年</w:t>
            </w:r>
            <w:r>
              <w:rPr>
                <w:rFonts w:ascii="宋体" w:hAnsi="宋体"/>
                <w:color w:val="000000"/>
                <w:kern w:val="0"/>
                <w:sz w:val="20"/>
                <w:szCs w:val="20"/>
              </w:rPr>
              <w:t>8</w:t>
            </w:r>
            <w:r>
              <w:rPr>
                <w:rFonts w:hint="eastAsia" w:ascii="宋体" w:hAnsi="宋体"/>
                <w:color w:val="000000"/>
                <w:kern w:val="0"/>
                <w:sz w:val="20"/>
                <w:szCs w:val="20"/>
              </w:rPr>
              <w:t>月毕业的国（境）外留学回国（境）人员可等同于</w:t>
            </w:r>
            <w:r>
              <w:rPr>
                <w:rFonts w:ascii="宋体" w:hAnsi="宋体"/>
                <w:color w:val="000000"/>
                <w:kern w:val="0"/>
                <w:sz w:val="20"/>
                <w:szCs w:val="20"/>
              </w:rPr>
              <w:t>2017</w:t>
            </w:r>
            <w:r>
              <w:rPr>
                <w:rFonts w:hint="eastAsia" w:ascii="宋体" w:hAnsi="宋体"/>
                <w:color w:val="000000"/>
                <w:kern w:val="0"/>
                <w:sz w:val="20"/>
                <w:szCs w:val="20"/>
              </w:rPr>
              <w:t>年全日制普通应届毕业生，报考时仍未毕业的可凭国（境）外学校学籍证明报名</w:t>
            </w:r>
            <w:r>
              <w:rPr>
                <w:rFonts w:ascii="宋体"/>
                <w:color w:val="000000"/>
                <w:kern w:val="0"/>
                <w:sz w:val="20"/>
                <w:szCs w:val="20"/>
              </w:rPr>
              <w:t>,</w:t>
            </w:r>
            <w:r>
              <w:rPr>
                <w:rFonts w:hint="eastAsia" w:ascii="宋体" w:hAnsi="宋体"/>
                <w:color w:val="000000"/>
                <w:kern w:val="0"/>
                <w:sz w:val="20"/>
                <w:szCs w:val="20"/>
              </w:rPr>
              <w:t>但须于</w:t>
            </w:r>
            <w:r>
              <w:rPr>
                <w:rFonts w:ascii="宋体" w:hAnsi="宋体"/>
                <w:color w:val="000000"/>
                <w:kern w:val="0"/>
                <w:sz w:val="20"/>
                <w:szCs w:val="20"/>
              </w:rPr>
              <w:t>2017</w:t>
            </w:r>
            <w:r>
              <w:rPr>
                <w:rFonts w:hint="eastAsia" w:ascii="宋体" w:hAnsi="宋体"/>
                <w:color w:val="000000"/>
                <w:kern w:val="0"/>
                <w:sz w:val="20"/>
                <w:szCs w:val="20"/>
              </w:rPr>
              <w:t>年</w:t>
            </w:r>
            <w:r>
              <w:rPr>
                <w:rFonts w:ascii="宋体" w:hAnsi="宋体"/>
                <w:color w:val="000000"/>
                <w:kern w:val="0"/>
                <w:sz w:val="20"/>
                <w:szCs w:val="20"/>
              </w:rPr>
              <w:t>12</w:t>
            </w:r>
            <w:r>
              <w:rPr>
                <w:rFonts w:hint="eastAsia" w:ascii="宋体" w:hAnsi="宋体"/>
                <w:color w:val="000000"/>
                <w:kern w:val="0"/>
                <w:sz w:val="20"/>
                <w:szCs w:val="20"/>
              </w:rPr>
              <w:t>月</w:t>
            </w:r>
            <w:r>
              <w:rPr>
                <w:rFonts w:ascii="宋体" w:hAnsi="宋体"/>
                <w:color w:val="000000"/>
                <w:kern w:val="0"/>
                <w:sz w:val="20"/>
                <w:szCs w:val="20"/>
              </w:rPr>
              <w:t>31</w:t>
            </w:r>
            <w:r>
              <w:rPr>
                <w:rFonts w:hint="eastAsia" w:ascii="宋体" w:hAnsi="宋体"/>
                <w:color w:val="000000"/>
                <w:kern w:val="0"/>
                <w:sz w:val="20"/>
                <w:szCs w:val="20"/>
              </w:rPr>
              <w:t>日前取得国家教育部学历学位认证书（届时未取得的不予录用）</w:t>
            </w:r>
          </w:p>
        </w:tc>
      </w:tr>
      <w:tr>
        <w:tblPrEx>
          <w:tblLayout w:type="fixed"/>
          <w:tblCellMar>
            <w:top w:w="15" w:type="dxa"/>
            <w:left w:w="15" w:type="dxa"/>
            <w:bottom w:w="15" w:type="dxa"/>
            <w:right w:w="15" w:type="dxa"/>
          </w:tblCellMar>
        </w:tblPrEx>
        <w:trPr>
          <w:trHeight w:val="397" w:hRule="atLeast"/>
        </w:trPr>
        <w:tc>
          <w:tcPr>
            <w:tcW w:w="8980" w:type="dxa"/>
            <w:gridSpan w:val="7"/>
            <w:tcBorders>
              <w:left w:val="single" w:color="000000" w:sz="4" w:space="0"/>
              <w:right w:val="single" w:color="000000" w:sz="4" w:space="0"/>
            </w:tcBorders>
            <w:vAlign w:val="center"/>
          </w:tcPr>
          <w:p>
            <w:pPr>
              <w:widowControl/>
              <w:jc w:val="left"/>
              <w:textAlignment w:val="center"/>
              <w:rPr>
                <w:rFonts w:ascii="宋体"/>
                <w:color w:val="000000"/>
                <w:sz w:val="20"/>
                <w:szCs w:val="20"/>
              </w:rPr>
            </w:pPr>
            <w:r>
              <w:rPr>
                <w:rFonts w:ascii="宋体" w:hAnsi="宋体"/>
                <w:color w:val="000000"/>
                <w:kern w:val="0"/>
                <w:sz w:val="20"/>
                <w:szCs w:val="20"/>
              </w:rPr>
              <w:t>2.</w:t>
            </w:r>
            <w:r>
              <w:rPr>
                <w:rFonts w:hint="eastAsia" w:ascii="宋体" w:hAnsi="宋体"/>
                <w:color w:val="000000"/>
                <w:kern w:val="0"/>
                <w:sz w:val="20"/>
                <w:szCs w:val="20"/>
              </w:rPr>
              <w:t>资格条件中的“临聘教学人员”指在全日制中小学（幼儿园）担任临聘教学工作的人员。</w:t>
            </w:r>
          </w:p>
        </w:tc>
      </w:tr>
      <w:tr>
        <w:tblPrEx>
          <w:tblLayout w:type="fixed"/>
          <w:tblCellMar>
            <w:top w:w="15" w:type="dxa"/>
            <w:left w:w="15" w:type="dxa"/>
            <w:bottom w:w="15" w:type="dxa"/>
            <w:right w:w="15" w:type="dxa"/>
          </w:tblCellMar>
        </w:tblPrEx>
        <w:trPr>
          <w:trHeight w:val="425" w:hRule="atLeast"/>
        </w:trPr>
        <w:tc>
          <w:tcPr>
            <w:tcW w:w="8980" w:type="dxa"/>
            <w:gridSpan w:val="7"/>
            <w:tcBorders>
              <w:left w:val="single" w:color="000000" w:sz="4" w:space="0"/>
              <w:bottom w:val="single" w:color="000000" w:sz="4" w:space="0"/>
              <w:right w:val="single" w:color="000000" w:sz="4" w:space="0"/>
            </w:tcBorders>
            <w:vAlign w:val="center"/>
          </w:tcPr>
          <w:p>
            <w:pPr>
              <w:widowControl/>
              <w:jc w:val="left"/>
              <w:textAlignment w:val="center"/>
              <w:rPr>
                <w:rFonts w:ascii="宋体"/>
                <w:color w:val="000000"/>
                <w:sz w:val="20"/>
                <w:szCs w:val="20"/>
              </w:rPr>
            </w:pPr>
            <w:r>
              <w:rPr>
                <w:rFonts w:ascii="宋体" w:hAnsi="宋体"/>
                <w:color w:val="000000"/>
                <w:kern w:val="0"/>
                <w:sz w:val="20"/>
                <w:szCs w:val="20"/>
              </w:rPr>
              <w:t>3.</w:t>
            </w:r>
            <w:r>
              <w:rPr>
                <w:rFonts w:hint="eastAsia" w:ascii="宋体" w:hAnsi="宋体"/>
                <w:color w:val="000000"/>
                <w:kern w:val="0"/>
                <w:sz w:val="20"/>
                <w:szCs w:val="20"/>
              </w:rPr>
              <w:t>资格条件中的“教师资格证”中学可用于小学，学科必须与报考专业一致。已取得国考合格证书和普通话合格证书的视作取得教师资格证允许参加考试，但教师资格证需在</w:t>
            </w:r>
            <w:r>
              <w:rPr>
                <w:rFonts w:ascii="宋体" w:hAnsi="宋体"/>
                <w:color w:val="000000"/>
                <w:kern w:val="0"/>
                <w:sz w:val="20"/>
                <w:szCs w:val="20"/>
              </w:rPr>
              <w:t>2017</w:t>
            </w:r>
            <w:r>
              <w:rPr>
                <w:rFonts w:hint="eastAsia" w:ascii="宋体" w:hAnsi="宋体"/>
                <w:color w:val="000000"/>
                <w:kern w:val="0"/>
                <w:sz w:val="20"/>
                <w:szCs w:val="20"/>
              </w:rPr>
              <w:t>年</w:t>
            </w:r>
            <w:r>
              <w:rPr>
                <w:rFonts w:ascii="宋体" w:hAnsi="宋体"/>
                <w:color w:val="000000"/>
                <w:kern w:val="0"/>
                <w:sz w:val="20"/>
                <w:szCs w:val="20"/>
              </w:rPr>
              <w:t>6</w:t>
            </w:r>
            <w:r>
              <w:rPr>
                <w:rFonts w:hint="eastAsia" w:ascii="宋体" w:hAnsi="宋体"/>
                <w:color w:val="000000"/>
                <w:kern w:val="0"/>
                <w:sz w:val="20"/>
                <w:szCs w:val="20"/>
              </w:rPr>
              <w:t>月前取得，否则考试无效，已录用的取消录用资格。</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54303"/>
    <w:multiLevelType w:val="singleLevel"/>
    <w:tmpl w:val="58954303"/>
    <w:lvl w:ilvl="0" w:tentative="0">
      <w:start w:val="1"/>
      <w:numFmt w:val="decimal"/>
      <w:suff w:val="nothing"/>
      <w:lvlText w:val="%1."/>
      <w:lvlJc w:val="left"/>
      <w:rPr>
        <w:rFonts w:cs="Times New Roman"/>
      </w:rPr>
    </w:lvl>
  </w:abstractNum>
  <w:abstractNum w:abstractNumId="1">
    <w:nsid w:val="58954386"/>
    <w:multiLevelType w:val="singleLevel"/>
    <w:tmpl w:val="58954386"/>
    <w:lvl w:ilvl="0" w:tentative="0">
      <w:start w:val="1"/>
      <w:numFmt w:val="decimal"/>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D7C0080"/>
    <w:rsid w:val="001F722F"/>
    <w:rsid w:val="00250DB9"/>
    <w:rsid w:val="00346BC6"/>
    <w:rsid w:val="003A70DC"/>
    <w:rsid w:val="004B5B52"/>
    <w:rsid w:val="007C4281"/>
    <w:rsid w:val="008B73C4"/>
    <w:rsid w:val="00913761"/>
    <w:rsid w:val="00D17F58"/>
    <w:rsid w:val="00DD49CF"/>
    <w:rsid w:val="12E8718E"/>
    <w:rsid w:val="1D7C0080"/>
    <w:rsid w:val="2A2D61F7"/>
    <w:rsid w:val="2D5779A8"/>
    <w:rsid w:val="37513A06"/>
    <w:rsid w:val="3D4801DE"/>
    <w:rsid w:val="47B470E9"/>
    <w:rsid w:val="4C2A5F0C"/>
    <w:rsid w:val="4DBC7D17"/>
    <w:rsid w:val="51516438"/>
    <w:rsid w:val="601353AE"/>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2">
    <w:name w:val="Default Paragraph Font"/>
    <w:semiHidden/>
    <w:qFormat/>
    <w:uiPriority w:val="99"/>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Pages>
  <Words>412</Words>
  <Characters>2351</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2017-02-04T08:57:00Z</dcterms:created>
  <dc:creator>Administrator</dc:creator>
  <cp:lastModifiedBy>Administrator</cp:lastModifiedBy>
  <dcterms:modified xsi:type="dcterms:W3CDTF">2017-02-04T13:16:29Z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