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122E67"/>
          <w:spacing w:val="0"/>
          <w:sz w:val="42"/>
          <w:szCs w:val="42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122E67"/>
          <w:spacing w:val="0"/>
          <w:sz w:val="42"/>
          <w:szCs w:val="42"/>
          <w:bdr w:val="none" w:color="auto" w:sz="0" w:space="0"/>
          <w:shd w:val="clear" w:fill="FFFFFF"/>
        </w:rPr>
        <w:t>2017年沂源县教师招聘报名情况统计表（2.20下午5：00）</w:t>
      </w:r>
    </w:p>
    <w:bookmarkEnd w:id="0"/>
    <w:tbl>
      <w:tblPr>
        <w:tblW w:w="87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1860"/>
        <w:gridCol w:w="735"/>
        <w:gridCol w:w="945"/>
        <w:gridCol w:w="840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审核通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过人数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缴费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沂源县高中学校（含职教中心）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沂源县高中学校（含职教中心）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沂源县高中学校（含职教中心）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沂源县普通高中学校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沂源县职教中心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沂源县职教中心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沂源县职教中心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沂源县初中学校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体育教练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沂源县小学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沂源县幼儿园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0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righ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righ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righ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截至2017.2.20 17：00数据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122E67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122E67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D117D"/>
    <w:rsid w:val="634D11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2017-02-21T05:44:00Z</dcterms:created>
  <dc:creator>Administrator</dc:creator>
  <cp:lastModifiedBy>Administrator</cp:lastModifiedBy>
  <dcterms:modified xsi:type="dcterms:W3CDTF">2017-02-21T05:45:28Z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