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00000"/>
          <w:spacing w:val="0"/>
          <w:sz w:val="30"/>
          <w:szCs w:val="30"/>
          <w:shd w:val="clear" w:fill="FFFFFF"/>
        </w:rPr>
      </w:pPr>
      <w:r>
        <w:rPr>
          <w:rFonts w:ascii="微软雅黑" w:hAnsi="微软雅黑" w:eastAsia="微软雅黑" w:cs="微软雅黑"/>
          <w:b/>
          <w:i w:val="0"/>
          <w:caps w:val="0"/>
          <w:color w:val="000000"/>
          <w:spacing w:val="0"/>
          <w:sz w:val="30"/>
          <w:szCs w:val="30"/>
          <w:shd w:val="clear" w:fill="FFFFFF"/>
        </w:rPr>
        <w:t>延长县2017年农村义务教育阶段学校特设岗位教师招聘公告</w:t>
      </w:r>
    </w:p>
    <w:p>
      <w:pPr>
        <w:pStyle w:val="3"/>
        <w:keepNext w:val="0"/>
        <w:keepLines w:val="0"/>
        <w:widowControl/>
        <w:suppressLineNumbers w:val="0"/>
        <w:shd w:val="clear" w:fill="FFFFFF"/>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根据省教育厅、省编办、省财政厅和省人力资源和社会保障厅《关于做好2017年农村义务教育阶段学校教师特设岗位计划实施工作的通知》（陕教 [2017]168号）和市教育局、市编办、市财政局和市人社局《关于做好2017年农村义务教育阶段学校教师特设岗位计划实施工作的通知》（延市教人[2017]23号）文件精神，结合我区教育实际，现将特岗教师招聘公告如下：</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一、招聘原则</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坚持“公开、平等、竞争、择优”的原则，按照德才兼备的标准，采取笔试和面试相结合的办法，择优聘用。</w:t>
      </w:r>
      <w:bookmarkStart w:id="0" w:name="_GoBack"/>
      <w:bookmarkEnd w:id="0"/>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二、招聘专业及数量</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2017年统一公开招聘特岗教师36名。其中招聘语文、数学各4名，英语、化学、体育各2名，历史、生物各1名，学前教育20名。</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三、招聘对象及条件</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（一）招聘对象：</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1、中小学教师招聘对象为：全日制普通高校应往届本科毕业生或研究生（各岗位需求专业附后）。</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2、幼儿教师招聘对象为：全日制普通高校应往届本科毕业生或研究生（需求专业附后）；全日制普通高校师范教育类学前教育、幼儿教育专业专科及以上学历毕业生。</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（二）招聘条件：</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1．基本素养条件。政治素质好，热爱教育事业，品行端正，遵纪守法，在校或工作（待业）期间表现良好，未受过任何纪律处分，无不良就业记录，志愿服务农村基层教育。各类基层服务期未满或服务期内有一次考核不合格者不能报考。</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2．资格与岗位条件。在2017年7月20日前，持有相应的教师资格证书，具备教师资格的其他条件要求和招聘岗位要求；所学专业与拟报岗位专业要求一致。</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3．身份与年龄条件。年龄在30周岁以下（1987年5月1日后出生）、未就业或与原就业单位解除了劳动（聘用）合同，符合本次招聘条件的全日制普通高校毕业生或社会人员。</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4．身心条件。心理健康，身体条件符合省教育厅、省卫生计生委《关于做好陕西省教师资格认定体检工作的通知》（陕教师〔2016〕4号）规定要求，能适应设岗地区的工作和生活环境。</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5．优先条件。总成绩并列优先顺序为：笔试成绩高者优先、专业课成绩高者优先、师范教育类本科生优先、本地生源优先、建档立卡贫困户子女优先。</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6、户口条件。户籍限定在延安市范围内。</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7．雷赤镇南河沟完全小学学前教育岗位，限符合招聘条件的现延长县建档立卡贫困户子女申报，非延长县户籍和未建档立卡贫困户子女不得申报此岗位。</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四、服务期限和范围</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特岗教师服务期为三年，服务期内全部安排在农村乡镇学校任教，可根据当地教育需求在县域内乡镇学校之间流动。</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五、招聘形式及程序</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（一）公布需求。由省教育厅负责于5月中旬通过门户网站</w:t>
      </w:r>
      <w:r>
        <w:rPr>
          <w:rFonts w:hint="eastAsia" w:ascii="宋体" w:hAnsi="宋体" w:eastAsia="宋体" w:cs="宋体"/>
          <w:b w:val="0"/>
          <w:i w:val="0"/>
          <w:caps w:val="0"/>
          <w:color w:val="333333"/>
          <w:spacing w:val="0"/>
          <w:sz w:val="21"/>
          <w:szCs w:val="21"/>
          <w:u w:val="none"/>
          <w:shd w:val="clear" w:fill="FFFFFF"/>
        </w:rPr>
        <w:fldChar w:fldCharType="begin"/>
      </w:r>
      <w:r>
        <w:rPr>
          <w:rFonts w:hint="eastAsia" w:ascii="宋体" w:hAnsi="宋体" w:eastAsia="宋体" w:cs="宋体"/>
          <w:b w:val="0"/>
          <w:i w:val="0"/>
          <w:caps w:val="0"/>
          <w:color w:val="333333"/>
          <w:spacing w:val="0"/>
          <w:sz w:val="21"/>
          <w:szCs w:val="21"/>
          <w:u w:val="none"/>
          <w:shd w:val="clear" w:fill="FFFFFF"/>
        </w:rPr>
        <w:instrText xml:space="preserve"> HYPERLINK "http://www.snedu.gov.cn/" </w:instrText>
      </w:r>
      <w:r>
        <w:rPr>
          <w:rFonts w:hint="eastAsia" w:ascii="宋体" w:hAnsi="宋体" w:eastAsia="宋体" w:cs="宋体"/>
          <w:b w:val="0"/>
          <w:i w:val="0"/>
          <w:caps w:val="0"/>
          <w:color w:val="333333"/>
          <w:spacing w:val="0"/>
          <w:sz w:val="21"/>
          <w:szCs w:val="21"/>
          <w:u w:val="none"/>
          <w:shd w:val="clear" w:fill="FFFFFF"/>
        </w:rPr>
        <w:fldChar w:fldCharType="separate"/>
      </w:r>
      <w:r>
        <w:rPr>
          <w:rStyle w:val="6"/>
          <w:rFonts w:hint="eastAsia" w:ascii="宋体" w:hAnsi="宋体" w:eastAsia="宋体" w:cs="宋体"/>
          <w:b w:val="0"/>
          <w:i w:val="0"/>
          <w:caps w:val="0"/>
          <w:color w:val="333333"/>
          <w:spacing w:val="0"/>
          <w:sz w:val="24"/>
          <w:szCs w:val="24"/>
          <w:u w:val="none"/>
          <w:shd w:val="clear" w:fill="FFFFFF"/>
        </w:rPr>
        <w:t>http://www.snedu.gov.cn/</w:t>
      </w:r>
      <w:r>
        <w:rPr>
          <w:rFonts w:hint="eastAsia" w:ascii="宋体" w:hAnsi="宋体" w:eastAsia="宋体" w:cs="宋体"/>
          <w:b w:val="0"/>
          <w:i w:val="0"/>
          <w:caps w:val="0"/>
          <w:color w:val="333333"/>
          <w:spacing w:val="0"/>
          <w:sz w:val="21"/>
          <w:szCs w:val="21"/>
          <w:u w:val="none"/>
          <w:shd w:val="clear" w:fill="FFFFFF"/>
        </w:rPr>
        <w:fldChar w:fldCharType="end"/>
      </w:r>
      <w:r>
        <w:rPr>
          <w:rFonts w:hint="eastAsia" w:ascii="宋体" w:hAnsi="宋体" w:eastAsia="宋体" w:cs="宋体"/>
          <w:b w:val="0"/>
          <w:i w:val="0"/>
          <w:caps w:val="0"/>
          <w:color w:val="000000"/>
          <w:spacing w:val="0"/>
          <w:sz w:val="24"/>
          <w:szCs w:val="24"/>
          <w:shd w:val="clear" w:fill="FFFFFF"/>
        </w:rPr>
        <w:t>向社会发布招聘信息。</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（二）网上报名。报名采取网上报名形式（网址：tgjs.sneducloud.com，以下简称“陕西特岗系统”），接受高校毕业生和社会人员报名，每位考生只能申报一个岗位。具体时间为5月18日12:00至5月24日12:00。</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三）网络资格审查。5月18日14:00至5月24日18:00，县招聘领导小组办公室严格按照公告条件，对高校毕业生和社会人员申报志愿情况进行统筹和网络资格审查。考生务必在5月24日12:00前登录报名系统打印出《陕西特岗网络资格审查通过的教师报名表》（无需学校或单位签字盖章）。</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四）现场确认审核。5月25日至5月27日18:00前进行现场确认审核。各通过网络资格审查人员持陕西特岗教师报名表、本人身份证、户口簿、毕业证（含学历注册电子备案表、学籍在线验证报告、中国高等教育学历查询结果；应届毕业生应持高校出具的学籍、学历证明或学生证）、学位证、教师资格证（正在考取的应持教育部考试中心颁发的《中小学和幼儿园教师资格考试合格证明》）、普通话证（正在考取的应持有关证明）、建档立卡贫困户子女持延长县扶贫局出具的证明材料（原件及复印件一份）报县教育局人事股。同时签订报考承诺书，不按时进行现场确认审核的，视为自动放弃，责任自负。资格初审通过后，报考岗位不能更改。</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五）笔试。笔试包括教育基础理论知识和学科综合知识两科，由省考试管理中心统一命题。对紧缺、薄弱学科将根据紧缺程度，适当降低开考比例。笔试两科成绩按各占50%的比例，采用百分制计算报考人员笔试成绩。全省打印准考证时间为6月14日至17日24:00，统一笔试时间为6月18日（星期日）。</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六）面试及资格复审。县招聘领导小组办公室根据笔试成绩从高到低顺序，按招聘计划数的3倍确定进入面试资格复审人员（未达到最低分数线或单科成绩为零分的除外）；对达不到3倍的岗位，达到最低分数线的应聘人员全部确定为面试资格复审人员。笔试、面试按照5:5计算，笔试成绩、面试成绩、考试总成绩均计算到小数点后两位数，不实行四舍五入，并按规定程序向社会公布。对拟聘人员应有不少于5天的公示。资格复审及面试工作应于7月20日前完成。</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七）补录及签订合同。拟聘特岗教师应于7月31日前赴县报到，无特殊情况未经请假逾期未报到者，视为自动放弃。县招聘领导小组办公室将严格按照空缺岗位成绩从高到低顺序依次替补，补录工作应于8月15日前完成。8月20日前，各县区与特岗教师签订《陕西省2017年农村学校特设岗位教师聘用合同书》同时将聘用人员名单、特岗计划工作总结等相关材料上报市特岗办。</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八）集中培训。8月15日至8月25日，县招聘领导小组办公室集中组织拟聘教师岗前培训，培训内容主要包括教育学、教育心理学、教师职业道德、教育政策法规、新课程通识、教材教法等。培训结束后，经考核合格者发给培训证。不培训或培训不合格者不准上岗,并取消特岗教师资格。</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（九）上岗任教。8月下旬，特岗教师赴相关学校上岗任教。</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六、注意事项</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延长县特岗教师招聘资格审查、考试、培训等相关信息将在延长县人民政府信息网（http://www.yanchangxian.gov.cn/）公告，不再另行电话通知，请考生关注网站通知</w:t>
      </w:r>
      <w:r>
        <w:rPr>
          <w:rFonts w:hint="eastAsia" w:ascii="宋体" w:hAnsi="宋体" w:eastAsia="宋体" w:cs="宋体"/>
          <w:b w:val="0"/>
          <w:i/>
          <w:caps w:val="0"/>
          <w:color w:val="000000"/>
          <w:spacing w:val="0"/>
          <w:sz w:val="24"/>
          <w:szCs w:val="24"/>
          <w:shd w:val="clear" w:fill="FFFFFF"/>
        </w:rPr>
        <w:t>。</w:t>
      </w:r>
      <w:r>
        <w:rPr>
          <w:rFonts w:hint="eastAsia" w:ascii="宋体" w:hAnsi="宋体" w:eastAsia="宋体" w:cs="宋体"/>
          <w:b w:val="0"/>
          <w:i w:val="0"/>
          <w:caps w:val="0"/>
          <w:color w:val="000000"/>
          <w:spacing w:val="0"/>
          <w:sz w:val="24"/>
          <w:szCs w:val="24"/>
          <w:shd w:val="clear" w:fill="FFFFFF"/>
        </w:rPr>
        <w:t>不按时参加的，视为自动放弃，一切责任自负。</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附件：2017年特岗教师招聘各岗位专业设置表</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联 系 人： 张雪芳</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联系电话： 0911-8617366</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30" w:lineRule="atLeast"/>
        <w:ind w:lef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延长县特设岗位教师招聘领导小组办公室（借章）</w:t>
      </w:r>
    </w:p>
    <w:p>
      <w:pPr>
        <w:pStyle w:val="3"/>
        <w:keepNext w:val="0"/>
        <w:keepLines w:val="0"/>
        <w:widowControl/>
        <w:suppressLineNumbers w:val="0"/>
        <w:shd w:val="clear" w:fill="FFFFFF"/>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2017年5月18日</w:t>
      </w:r>
    </w:p>
    <w:p>
      <w:pPr>
        <w:pStyle w:val="3"/>
        <w:keepNext w:val="0"/>
        <w:keepLines w:val="0"/>
        <w:widowControl/>
        <w:suppressLineNumbers w:val="0"/>
        <w:shd w:val="clear" w:fill="FFFFFF"/>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w:t>
      </w:r>
    </w:p>
    <w:tbl>
      <w:tblPr>
        <w:tblW w:w="9540" w:type="dxa"/>
        <w:jc w:val="center"/>
        <w:tblInd w:w="-617" w:type="dxa"/>
        <w:shd w:val="clear" w:color="auto" w:fill="FFFFFF"/>
        <w:tblLayout w:type="fixed"/>
        <w:tblCellMar>
          <w:top w:w="0" w:type="dxa"/>
          <w:left w:w="0" w:type="dxa"/>
          <w:bottom w:w="0" w:type="dxa"/>
          <w:right w:w="0" w:type="dxa"/>
        </w:tblCellMar>
      </w:tblPr>
      <w:tblGrid>
        <w:gridCol w:w="900"/>
        <w:gridCol w:w="860"/>
        <w:gridCol w:w="840"/>
        <w:gridCol w:w="880"/>
        <w:gridCol w:w="820"/>
        <w:gridCol w:w="740"/>
        <w:gridCol w:w="2540"/>
        <w:gridCol w:w="1960"/>
      </w:tblGrid>
      <w:tr>
        <w:tblPrEx>
          <w:shd w:val="clear" w:color="auto" w:fill="FFFFFF"/>
          <w:tblLayout w:type="fixed"/>
          <w:tblCellMar>
            <w:top w:w="0" w:type="dxa"/>
            <w:left w:w="0" w:type="dxa"/>
            <w:bottom w:w="0" w:type="dxa"/>
            <w:right w:w="0" w:type="dxa"/>
          </w:tblCellMar>
        </w:tblPrEx>
        <w:trPr>
          <w:trHeight w:val="600" w:hRule="atLeast"/>
          <w:jc w:val="center"/>
        </w:trPr>
        <w:tc>
          <w:tcPr>
            <w:tcW w:w="9540" w:type="dxa"/>
            <w:gridSpan w:val="8"/>
            <w:tcBorders>
              <w:top w:val="nil"/>
              <w:left w:val="nil"/>
              <w:bottom w:val="nil"/>
              <w:right w:val="nil"/>
            </w:tcBorders>
            <w:shd w:val="clear" w:color="auto" w:fill="FFFFFF"/>
            <w:vAlign w:val="center"/>
          </w:tcPr>
          <w:p>
            <w:pPr>
              <w:pStyle w:val="3"/>
              <w:keepNext w:val="0"/>
              <w:keepLines w:val="0"/>
              <w:widowControl/>
              <w:suppressLineNumbers w:val="0"/>
              <w:spacing w:line="420" w:lineRule="atLeast"/>
            </w:pPr>
            <w:r>
              <w:rPr>
                <w:rFonts w:ascii="eWebEditor_Temp_FontName" w:hAnsi="eWebEditor_Temp_FontName" w:eastAsia="eWebEditor_Temp_FontName" w:cs="eWebEditor_Temp_FontName"/>
                <w:b w:val="0"/>
                <w:i w:val="0"/>
                <w:caps w:val="0"/>
                <w:color w:val="000000"/>
                <w:spacing w:val="0"/>
                <w:sz w:val="24"/>
                <w:szCs w:val="24"/>
              </w:rPr>
              <w:t>                           </w:t>
            </w:r>
          </w:p>
          <w:p>
            <w:pPr>
              <w:pStyle w:val="3"/>
              <w:keepNext w:val="0"/>
              <w:keepLines w:val="0"/>
              <w:widowControl/>
              <w:suppressLineNumbers w:val="0"/>
              <w:spacing w:line="420" w:lineRule="atLeast"/>
            </w:pPr>
            <w:r>
              <w:rPr>
                <w:rFonts w:hint="eastAsia" w:ascii="宋体" w:hAnsi="宋体" w:eastAsia="宋体" w:cs="宋体"/>
                <w:b w:val="0"/>
                <w:i w:val="0"/>
                <w:caps w:val="0"/>
                <w:color w:val="000000"/>
                <w:spacing w:val="0"/>
                <w:sz w:val="18"/>
                <w:szCs w:val="18"/>
              </w:rPr>
              <w:t> </w:t>
            </w:r>
          </w:p>
          <w:p>
            <w:pPr>
              <w:pStyle w:val="3"/>
              <w:keepNext w:val="0"/>
              <w:keepLines w:val="0"/>
              <w:widowControl/>
              <w:suppressLineNumbers w:val="0"/>
              <w:spacing w:line="420" w:lineRule="atLeast"/>
              <w:jc w:val="center"/>
            </w:pPr>
            <w:r>
              <w:rPr>
                <w:rFonts w:hint="default" w:ascii="eWebEditor_Temp_FontName" w:hAnsi="eWebEditor_Temp_FontName" w:eastAsia="eWebEditor_Temp_FontName" w:cs="eWebEditor_Temp_FontName"/>
                <w:b w:val="0"/>
                <w:i w:val="0"/>
                <w:caps w:val="0"/>
                <w:color w:val="000000"/>
                <w:spacing w:val="0"/>
                <w:sz w:val="24"/>
                <w:szCs w:val="24"/>
              </w:rPr>
              <w:t>   延长县2017年特岗教师招聘各岗位专业设置表</w:t>
            </w:r>
          </w:p>
        </w:tc>
      </w:tr>
      <w:tr>
        <w:tblPrEx>
          <w:tblLayout w:type="fixed"/>
          <w:tblCellMar>
            <w:top w:w="0" w:type="dxa"/>
            <w:left w:w="0" w:type="dxa"/>
            <w:bottom w:w="0" w:type="dxa"/>
            <w:right w:w="0" w:type="dxa"/>
          </w:tblCellMar>
        </w:tblPrEx>
        <w:trPr>
          <w:trHeight w:val="720" w:hRule="atLeast"/>
          <w:jc w:val="center"/>
        </w:trPr>
        <w:tc>
          <w:tcPr>
            <w:tcW w:w="9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学 </w:t>
            </w:r>
            <w:r>
              <w:rPr>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校</w:t>
            </w:r>
          </w:p>
        </w:tc>
        <w:tc>
          <w:tcPr>
            <w:tcW w:w="86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学生数（人）</w:t>
            </w:r>
          </w:p>
        </w:tc>
        <w:tc>
          <w:tcPr>
            <w:tcW w:w="8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编制数（人）</w:t>
            </w:r>
          </w:p>
        </w:tc>
        <w:tc>
          <w:tcPr>
            <w:tcW w:w="88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现有教职工数（人）</w:t>
            </w:r>
          </w:p>
        </w:tc>
        <w:tc>
          <w:tcPr>
            <w:tcW w:w="82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需求</w:t>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岗位</w:t>
            </w:r>
          </w:p>
        </w:tc>
        <w:tc>
          <w:tcPr>
            <w:tcW w:w="7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需求数（人）</w:t>
            </w:r>
          </w:p>
        </w:tc>
        <w:tc>
          <w:tcPr>
            <w:tcW w:w="25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需求专业</w:t>
            </w:r>
          </w:p>
        </w:tc>
        <w:tc>
          <w:tcPr>
            <w:tcW w:w="196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岗位条件</w:t>
            </w:r>
          </w:p>
        </w:tc>
      </w:tr>
      <w:tr>
        <w:tblPrEx>
          <w:tblLayout w:type="fixed"/>
          <w:tblCellMar>
            <w:top w:w="0" w:type="dxa"/>
            <w:left w:w="0" w:type="dxa"/>
            <w:bottom w:w="0" w:type="dxa"/>
            <w:right w:w="0" w:type="dxa"/>
          </w:tblCellMar>
        </w:tblPrEx>
        <w:trPr>
          <w:trHeight w:val="1759"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雷赤镇南河沟完全小学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168</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23</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18</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语文</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4</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汉语言文学、汉语言、汉语言文学教育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汉语言文字学、中国现当代文学、语言学及应用语言学、中国古代文学、中国古典文献学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120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雷赤镇中心小学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114</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23</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18</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数学</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4</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数学与应用数学、信息与计算科学</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应用数学、计算数学、基础数学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132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雷赤镇中心小学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114</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23</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18</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体育教育、运动人体科学、运动训练</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体育教育训练学、运动人体科学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1002"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罗子山镇中心小学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60</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26</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22</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英语</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英语、英语语言文学</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英语语言文学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210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罗子山镇中心小学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60</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26</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22</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体育教育、运动人体科学、运动训练(除需符合上述专业外，要求主修课程必须为足球)</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体育教育训练学、运动人体科学(除需符合上述专业外，要求主修课程必须为足球)</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156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交口镇光华中学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391</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45</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43</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化学</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化学、应用化学、化学生物学</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无机化学、分析化学、有机化学、物理化学(含∶化学物理)、高分子化学与物理</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120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黑家堡镇初级中学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534</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38</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34</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历史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历史学、世界史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史学理论及史学史，中国古代史，中国近现代史，历史文献学历史地理学，民族学，世界史</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240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黑家堡镇初级中学</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535</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38</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34</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生物</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生物科学、生物技术、生物信息学、生物资源科学</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生物化学与分子生物学、生理学、细胞生物学 、生物物理学、微生物学、植物学、动物学、生态学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全日制普通高校应往届本科毕业生及研究生。延安市户籍。</w:t>
            </w:r>
          </w:p>
        </w:tc>
      </w:tr>
      <w:tr>
        <w:tblPrEx>
          <w:tblLayout w:type="fixed"/>
          <w:tblCellMar>
            <w:top w:w="0" w:type="dxa"/>
            <w:left w:w="0" w:type="dxa"/>
            <w:bottom w:w="0" w:type="dxa"/>
            <w:right w:w="0" w:type="dxa"/>
          </w:tblCellMar>
        </w:tblPrEx>
        <w:trPr>
          <w:trHeight w:val="2382"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罗子山镇中心小学（学前班）方向</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37</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9</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3</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6</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学前教育、初等教育（幼师方向、学前教育方向）、幼儿教育、音乐教育、音乐学、美术教育、美术学、舞蹈学、艺术教育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设计艺术学、音乐学、艺术学、美术学、舞蹈学、学前教育学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全日制普通高校应往届本科毕业生及研究生;全日制普通高校师范教育类学前教育、幼儿教育专业专科及以上学历毕业生。延安市户籍。</w:t>
            </w:r>
          </w:p>
        </w:tc>
      </w:tr>
      <w:tr>
        <w:tblPrEx>
          <w:tblLayout w:type="fixed"/>
          <w:tblCellMar>
            <w:top w:w="0" w:type="dxa"/>
            <w:left w:w="0" w:type="dxa"/>
            <w:bottom w:w="0" w:type="dxa"/>
            <w:right w:w="0" w:type="dxa"/>
          </w:tblCellMar>
        </w:tblPrEx>
        <w:trPr>
          <w:trHeight w:val="2419"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安沟镇中心小学（学前班）方向</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47</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9</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6</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学前教育、初等教育（幼师方向、学前教育方向）、幼儿教育、音乐教育、音乐学、美术教育、美术学、舞蹈学、艺术教育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设计艺术学、音乐学、艺术学、美术学、舞蹈学、学前教育学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全日制普通高校应往届本科毕业生及研究生;全日制普通高校师范教育类学前教育、幼儿教育专业专科及以上学历毕业生。延安市户籍。</w:t>
            </w:r>
          </w:p>
        </w:tc>
      </w:tr>
      <w:tr>
        <w:tblPrEx>
          <w:tblLayout w:type="fixed"/>
          <w:tblCellMar>
            <w:top w:w="0" w:type="dxa"/>
            <w:left w:w="0" w:type="dxa"/>
            <w:bottom w:w="0" w:type="dxa"/>
            <w:right w:w="0" w:type="dxa"/>
          </w:tblCellMar>
        </w:tblPrEx>
        <w:trPr>
          <w:trHeight w:val="2820" w:hRule="atLeast"/>
          <w:jc w:val="center"/>
        </w:trPr>
        <w:tc>
          <w:tcPr>
            <w:tcW w:w="900" w:type="dxa"/>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雷赤镇中心小学（学前班）方向</w:t>
            </w:r>
          </w:p>
        </w:tc>
        <w:tc>
          <w:tcPr>
            <w:tcW w:w="8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75</w:t>
            </w:r>
          </w:p>
        </w:tc>
        <w:tc>
          <w:tcPr>
            <w:tcW w:w="8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9</w:t>
            </w:r>
          </w:p>
        </w:tc>
        <w:tc>
          <w:tcPr>
            <w:tcW w:w="88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w:t>
            </w:r>
          </w:p>
        </w:tc>
        <w:tc>
          <w:tcPr>
            <w:tcW w:w="82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w:t>
            </w:r>
          </w:p>
        </w:tc>
        <w:tc>
          <w:tcPr>
            <w:tcW w:w="7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7</w:t>
            </w:r>
          </w:p>
        </w:tc>
        <w:tc>
          <w:tcPr>
            <w:tcW w:w="254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学前教育、初等教育（幼师方向、学前教育方向）、幼儿教育、音乐教育、音乐学、美术教育、美术学、舞蹈学、艺术教育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设计艺术学、音乐学、艺术学、美术学、舞蹈学、学前教育学</w:t>
            </w:r>
          </w:p>
        </w:tc>
        <w:tc>
          <w:tcPr>
            <w:tcW w:w="1960"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全日制普通高校应往届本科毕业生及研究生;全日制普通高校师范教育类学前教育、幼儿教育专业专科及以上学历毕业生。延安市户籍。</w:t>
            </w:r>
          </w:p>
        </w:tc>
      </w:tr>
      <w:tr>
        <w:tblPrEx>
          <w:tblLayout w:type="fixed"/>
          <w:tblCellMar>
            <w:top w:w="0" w:type="dxa"/>
            <w:left w:w="0" w:type="dxa"/>
            <w:bottom w:w="0" w:type="dxa"/>
            <w:right w:w="0" w:type="dxa"/>
          </w:tblCellMar>
        </w:tblPrEx>
        <w:trPr>
          <w:trHeight w:val="2340" w:hRule="atLeast"/>
          <w:jc w:val="center"/>
        </w:trPr>
        <w:tc>
          <w:tcPr>
            <w:tcW w:w="900" w:type="dxa"/>
            <w:tcBorders>
              <w:top w:val="nil"/>
              <w:left w:val="single" w:color="auto" w:sz="4" w:space="0"/>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雷赤镇南河沟完全小学（学前班）方向</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（贫困户特设岗位）</w:t>
            </w:r>
          </w:p>
        </w:tc>
        <w:tc>
          <w:tcPr>
            <w:tcW w:w="86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168</w:t>
            </w:r>
          </w:p>
        </w:tc>
        <w:tc>
          <w:tcPr>
            <w:tcW w:w="84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23</w:t>
            </w:r>
          </w:p>
        </w:tc>
        <w:tc>
          <w:tcPr>
            <w:tcW w:w="88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18</w:t>
            </w:r>
          </w:p>
        </w:tc>
        <w:tc>
          <w:tcPr>
            <w:tcW w:w="82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w:t>
            </w:r>
          </w:p>
        </w:tc>
        <w:tc>
          <w:tcPr>
            <w:tcW w:w="74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1</w:t>
            </w:r>
          </w:p>
        </w:tc>
        <w:tc>
          <w:tcPr>
            <w:tcW w:w="254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本科专业：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学前教育、初等教育（幼师方向、学前教育方向）、幼儿教育、音乐教育、音乐学、美术教育、美术学、舞蹈学、艺术教育</w:t>
            </w:r>
            <w:r>
              <w:rPr>
                <w:rFonts w:hint="eastAsia" w:ascii="宋体" w:hAnsi="宋体" w:eastAsia="宋体" w:cs="宋体"/>
                <w:b w:val="0"/>
                <w:i w:val="0"/>
                <w:caps w:val="0"/>
                <w:color w:val="000000"/>
                <w:spacing w:val="0"/>
                <w:kern w:val="0"/>
                <w:sz w:val="18"/>
                <w:szCs w:val="18"/>
                <w:lang w:val="en-US" w:eastAsia="zh-CN" w:bidi="ar"/>
              </w:rPr>
              <w:br w:type="textWrapping"/>
            </w: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研究生专业：</w:t>
            </w: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设计艺术学、音乐学、艺术学、美术学、舞蹈学、学前教育学</w:t>
            </w:r>
          </w:p>
        </w:tc>
        <w:tc>
          <w:tcPr>
            <w:tcW w:w="1960" w:type="dxa"/>
            <w:tcBorders>
              <w:top w:val="nil"/>
              <w:left w:val="nil"/>
              <w:bottom w:val="nil"/>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全日制普通高校师范教育类应往届本科毕业生、研究生及全日制普通高校师范教育类专科毕业生，符合上述招聘条件的延长县户籍建档立卡贫困户子女可申报，非延长县户籍和未建档立卡贫困户子女不得申报此岗位。</w:t>
            </w:r>
          </w:p>
        </w:tc>
      </w:tr>
      <w:tr>
        <w:tblPrEx>
          <w:tblLayout w:type="fixed"/>
          <w:tblCellMar>
            <w:top w:w="0" w:type="dxa"/>
            <w:left w:w="0" w:type="dxa"/>
            <w:bottom w:w="0" w:type="dxa"/>
            <w:right w:w="0" w:type="dxa"/>
          </w:tblCellMar>
        </w:tblPrEx>
        <w:trPr>
          <w:trHeight w:val="420" w:hRule="atLeast"/>
          <w:jc w:val="center"/>
        </w:trPr>
        <w:tc>
          <w:tcPr>
            <w:tcW w:w="9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合 计</w:t>
            </w:r>
          </w:p>
        </w:tc>
        <w:tc>
          <w:tcPr>
            <w:tcW w:w="86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c>
          <w:tcPr>
            <w:tcW w:w="8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c>
          <w:tcPr>
            <w:tcW w:w="88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c>
          <w:tcPr>
            <w:tcW w:w="82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c>
          <w:tcPr>
            <w:tcW w:w="7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36</w:t>
            </w:r>
          </w:p>
        </w:tc>
        <w:tc>
          <w:tcPr>
            <w:tcW w:w="254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c>
          <w:tcPr>
            <w:tcW w:w="196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Style w:val="5"/>
                <w:rFonts w:hint="default" w:ascii="eWebEditor_Temp_FontName" w:hAnsi="eWebEditor_Temp_FontName" w:eastAsia="eWebEditor_Temp_FontName" w:cs="eWebEditor_Temp_FontName"/>
                <w:i w:val="0"/>
                <w:caps w:val="0"/>
                <w:color w:val="000000"/>
                <w:spacing w:val="0"/>
                <w:kern w:val="0"/>
                <w:sz w:val="24"/>
                <w:szCs w:val="24"/>
                <w:lang w:val="en-US" w:eastAsia="zh-CN" w:bidi="ar"/>
              </w:rPr>
              <w:t>　</w:t>
            </w:r>
          </w:p>
        </w:tc>
      </w:tr>
      <w:tr>
        <w:tblPrEx>
          <w:tblLayout w:type="fixed"/>
          <w:tblCellMar>
            <w:top w:w="0" w:type="dxa"/>
            <w:left w:w="0" w:type="dxa"/>
            <w:bottom w:w="0" w:type="dxa"/>
            <w:right w:w="0" w:type="dxa"/>
          </w:tblCellMar>
        </w:tblPrEx>
        <w:trPr>
          <w:trHeight w:val="1260" w:hRule="atLeast"/>
          <w:jc w:val="center"/>
        </w:trPr>
        <w:tc>
          <w:tcPr>
            <w:tcW w:w="9540" w:type="dxa"/>
            <w:gridSpan w:val="8"/>
            <w:tcBorders>
              <w:top w:val="nil"/>
              <w:left w:val="nil"/>
              <w:bottom w:val="nil"/>
              <w:right w:val="nil"/>
            </w:tcBorders>
            <w:shd w:val="clear" w:color="auto" w:fill="FFFFFF"/>
            <w:vAlign w:val="center"/>
          </w:tcPr>
          <w:p>
            <w:pPr>
              <w:keepNext w:val="0"/>
              <w:keepLines w:val="0"/>
              <w:widowControl/>
              <w:suppressLineNumbers w:val="0"/>
              <w:spacing w:line="420" w:lineRule="atLeast"/>
              <w:ind w:left="0" w:firstLine="0"/>
              <w:jc w:val="left"/>
              <w:rPr>
                <w:rFonts w:hint="eastAsia" w:ascii="宋体" w:hAnsi="宋体" w:eastAsia="宋体" w:cs="宋体"/>
                <w:b w:val="0"/>
                <w:i w:val="0"/>
                <w:caps w:val="0"/>
                <w:color w:val="000000"/>
                <w:spacing w:val="0"/>
                <w:sz w:val="18"/>
                <w:szCs w:val="18"/>
              </w:rPr>
            </w:pPr>
            <w:r>
              <w:rPr>
                <w:rFonts w:hint="default" w:ascii="eWebEditor_Temp_FontName" w:hAnsi="eWebEditor_Temp_FontName" w:eastAsia="eWebEditor_Temp_FontName" w:cs="eWebEditor_Temp_FontName"/>
                <w:b w:val="0"/>
                <w:i w:val="0"/>
                <w:caps w:val="0"/>
                <w:color w:val="000000"/>
                <w:spacing w:val="0"/>
                <w:kern w:val="0"/>
                <w:sz w:val="24"/>
                <w:szCs w:val="24"/>
                <w:lang w:val="en-US" w:eastAsia="zh-CN" w:bidi="ar"/>
              </w:rPr>
              <w:t>备注：罗子山镇中心小学（学前班）方向是指罗子山镇中心幼儿园；安沟镇中心小学（学前班）方向是指安沟镇中心幼儿园；雷赤镇中心小学（学前班）方向是指雷赤镇中心幼儿园；雷赤镇南河沟完全小学（学前班）方向是指雷赤镇南河沟完全小学附设幼儿园。</w:t>
            </w:r>
          </w:p>
        </w:tc>
      </w:tr>
    </w:tbl>
    <w:p>
      <w:pPr>
        <w:rPr>
          <w:rFonts w:ascii="微软雅黑" w:hAnsi="微软雅黑" w:eastAsia="微软雅黑" w:cs="微软雅黑"/>
          <w:b/>
          <w:i w:val="0"/>
          <w:caps w:val="0"/>
          <w:color w:val="000000"/>
          <w:spacing w:val="0"/>
          <w:sz w:val="30"/>
          <w:szCs w:val="30"/>
          <w:shd w:val="clear" w:fill="FFFFFF"/>
        </w:rPr>
      </w:pPr>
      <w:r>
        <w:rPr>
          <w:rFonts w:hint="default" w:ascii="eWebEditor_Temp_FontName" w:hAnsi="eWebEditor_Temp_FontName" w:eastAsia="eWebEditor_Temp_FontName" w:cs="eWebEditor_Temp_FontName"/>
          <w:b w:val="0"/>
          <w:i w:val="0"/>
          <w:caps w:val="0"/>
          <w:color w:val="000000"/>
          <w:spacing w:val="0"/>
          <w:sz w:val="24"/>
          <w:szCs w:val="24"/>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eWebEditor_Temp_Font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8D71DD"/>
    <w:rsid w:val="108D71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2017-05-19T01:02:00Z</dcterms:created>
  <dc:creator>Administrator</dc:creator>
  <cp:lastModifiedBy>Administrator</cp:lastModifiedBy>
  <dcterms:modified xsi:type="dcterms:W3CDTF">2017-05-19T01:04:12Z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