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hAnsi="宋体" w:eastAsia="仿宋_GB2312" w:cs="宋体"/>
          <w:kern w:val="0"/>
          <w:sz w:val="32"/>
          <w:szCs w:val="32"/>
        </w:rPr>
      </w:pPr>
      <w:bookmarkStart w:id="0" w:name="_GoBack"/>
      <w:bookmarkEnd w:id="0"/>
      <w:r>
        <w:rPr>
          <w:rFonts w:hint="eastAsia" w:hAnsi="宋体" w:eastAsia="仿宋_GB2312" w:cs="宋体"/>
          <w:kern w:val="0"/>
          <w:sz w:val="32"/>
          <w:szCs w:val="32"/>
        </w:rPr>
        <w:t>附件</w:t>
      </w:r>
      <w:r>
        <w:rPr>
          <w:rFonts w:hAnsi="宋体" w:eastAsia="仿宋_GB2312" w:cs="宋体"/>
          <w:kern w:val="0"/>
          <w:sz w:val="32"/>
          <w:szCs w:val="32"/>
        </w:rPr>
        <w:t>3</w:t>
      </w:r>
    </w:p>
    <w:p>
      <w:pPr>
        <w:pStyle w:val="5"/>
        <w:shd w:val="clear" w:color="auto" w:fill="FFFFFF"/>
        <w:spacing w:before="0" w:beforeAutospacing="0" w:after="0" w:afterAutospacing="0" w:line="420" w:lineRule="atLeast"/>
        <w:ind w:firstLine="480"/>
        <w:jc w:val="center"/>
        <w:rPr>
          <w:rFonts w:ascii="方正小标宋简体" w:eastAsia="方正小标宋简体"/>
          <w:sz w:val="32"/>
          <w:szCs w:val="32"/>
        </w:rPr>
      </w:pPr>
      <w:r>
        <w:rPr>
          <w:rFonts w:hint="eastAsia" w:ascii="方正小标宋简体" w:eastAsia="方正小标宋简体"/>
          <w:sz w:val="32"/>
          <w:szCs w:val="32"/>
        </w:rPr>
        <w:t>市委办公室</w:t>
      </w:r>
      <w:r>
        <w:rPr>
          <w:rFonts w:eastAsia="方正小标宋简体"/>
          <w:sz w:val="32"/>
          <w:szCs w:val="32"/>
        </w:rPr>
        <w:t> </w:t>
      </w:r>
      <w:r>
        <w:rPr>
          <w:rFonts w:hint="eastAsia" w:ascii="方正小标宋简体" w:eastAsia="方正小标宋简体"/>
          <w:sz w:val="32"/>
          <w:szCs w:val="32"/>
        </w:rPr>
        <w:t>市政府办公室关于实施“人才新政十条”</w:t>
      </w:r>
    </w:p>
    <w:p>
      <w:pPr>
        <w:pStyle w:val="5"/>
        <w:shd w:val="clear" w:color="auto" w:fill="FFFFFF"/>
        <w:spacing w:before="0" w:beforeAutospacing="0" w:after="0" w:afterAutospacing="0" w:line="420" w:lineRule="atLeast"/>
        <w:ind w:firstLine="480"/>
        <w:jc w:val="center"/>
        <w:rPr>
          <w:rFonts w:ascii="方正小标宋简体" w:eastAsia="方正小标宋简体"/>
          <w:sz w:val="32"/>
          <w:szCs w:val="32"/>
        </w:rPr>
      </w:pPr>
      <w:r>
        <w:rPr>
          <w:rFonts w:hint="eastAsia" w:ascii="方正小标宋简体" w:eastAsia="方正小标宋简体"/>
          <w:sz w:val="32"/>
          <w:szCs w:val="32"/>
        </w:rPr>
        <w:t>推进领军型人才团队建设的意见</w:t>
      </w:r>
    </w:p>
    <w:p>
      <w:pPr>
        <w:pStyle w:val="5"/>
        <w:shd w:val="clear" w:color="auto" w:fill="FFFFFF"/>
        <w:spacing w:before="0" w:beforeAutospacing="0" w:after="0" w:afterAutospacing="0" w:line="420" w:lineRule="atLeast"/>
        <w:ind w:firstLine="480"/>
        <w:jc w:val="center"/>
        <w:rPr>
          <w:rFonts w:ascii="方正小标宋简体" w:eastAsia="方正小标宋简体"/>
          <w:sz w:val="32"/>
          <w:szCs w:val="32"/>
        </w:rPr>
      </w:pPr>
      <w:r>
        <w:rPr>
          <w:rFonts w:hint="eastAsia"/>
        </w:rPr>
        <w:t>温委办发〔</w:t>
      </w:r>
      <w:r>
        <w:t>2015</w:t>
      </w:r>
      <w:r>
        <w:rPr>
          <w:rFonts w:hint="eastAsia"/>
        </w:rPr>
        <w:t>〕</w:t>
      </w:r>
      <w:r>
        <w:t>49</w:t>
      </w:r>
      <w:r>
        <w:rPr>
          <w:rFonts w:hint="eastAsia"/>
        </w:rPr>
        <w:t>号</w:t>
      </w:r>
    </w:p>
    <w:p>
      <w:pPr>
        <w:pStyle w:val="5"/>
        <w:shd w:val="clear" w:color="auto" w:fill="FFFFFF"/>
        <w:spacing w:before="0" w:beforeAutospacing="0" w:after="0" w:afterAutospacing="0" w:line="400" w:lineRule="exact"/>
        <w:ind w:firstLine="480"/>
      </w:pPr>
    </w:p>
    <w:p>
      <w:pPr>
        <w:pStyle w:val="5"/>
        <w:shd w:val="clear" w:color="auto" w:fill="FFFFFF"/>
        <w:spacing w:before="0" w:beforeAutospacing="0" w:after="0" w:afterAutospacing="0" w:line="400" w:lineRule="exact"/>
      </w:pPr>
      <w:r>
        <w:rPr>
          <w:rFonts w:hint="eastAsia"/>
        </w:rPr>
        <w:t>各县（市、区）委、人民政府，市直属各单位：</w:t>
      </w:r>
    </w:p>
    <w:p>
      <w:pPr>
        <w:pStyle w:val="5"/>
        <w:shd w:val="clear" w:color="auto" w:fill="FFFFFF"/>
        <w:spacing w:before="0" w:beforeAutospacing="0" w:after="0" w:afterAutospacing="0" w:line="400" w:lineRule="exact"/>
        <w:ind w:firstLine="480"/>
      </w:pPr>
      <w:r>
        <w:rPr>
          <w:rFonts w:hint="eastAsia"/>
        </w:rPr>
        <w:t>为深入实施人才强市战略，面向海内外集聚一批高水平科技创新领军人才和团队，有力推动温州赶超发展，现就实施“人才新政十条”、推进领军型创新创业人才团队建设提出如下意见。</w:t>
      </w:r>
    </w:p>
    <w:p>
      <w:pPr>
        <w:pStyle w:val="5"/>
        <w:shd w:val="clear" w:color="auto" w:fill="FFFFFF"/>
        <w:spacing w:before="0" w:beforeAutospacing="0" w:after="0" w:afterAutospacing="0" w:line="400" w:lineRule="exact"/>
        <w:ind w:firstLine="480"/>
      </w:pPr>
      <w:r>
        <w:rPr>
          <w:rStyle w:val="7"/>
          <w:rFonts w:hint="eastAsia" w:cs="宋体"/>
        </w:rPr>
        <w:t>一、总体要求</w:t>
      </w:r>
    </w:p>
    <w:p>
      <w:pPr>
        <w:pStyle w:val="5"/>
        <w:shd w:val="clear" w:color="auto" w:fill="FFFFFF"/>
        <w:spacing w:before="0" w:beforeAutospacing="0" w:after="0" w:afterAutospacing="0" w:line="400" w:lineRule="exact"/>
        <w:ind w:firstLine="480"/>
      </w:pPr>
      <w:r>
        <w:rPr>
          <w:rFonts w:hint="eastAsia"/>
        </w:rPr>
        <w:t>紧紧围绕温州赶超发展需求，抢抓人才流动机遇期，打造人才政策比较优势，努力打造人才生态优良环境，加快集聚各类高层次人才在温创新创业。根据创新驱动发展的要求，按照“服务发展、高端引领、以用为本、优先保障”的原则，引进、培育和造就一批具备一流水平，能够引领我市产业发展的领军型创新创业人才和团队，为开创新常态下温州赶超发展新局面提供强有力的人才保障和智力支持。</w:t>
      </w:r>
    </w:p>
    <w:p>
      <w:pPr>
        <w:pStyle w:val="5"/>
        <w:shd w:val="clear" w:color="auto" w:fill="FFFFFF"/>
        <w:spacing w:before="0" w:beforeAutospacing="0" w:after="0" w:afterAutospacing="0" w:line="400" w:lineRule="exact"/>
        <w:ind w:firstLine="480"/>
      </w:pPr>
      <w:r>
        <w:rPr>
          <w:rStyle w:val="7"/>
          <w:rFonts w:hint="eastAsia" w:cs="宋体"/>
        </w:rPr>
        <w:t>二、引进培养重点和支持政策</w:t>
      </w:r>
    </w:p>
    <w:p>
      <w:pPr>
        <w:pStyle w:val="5"/>
        <w:shd w:val="clear" w:color="auto" w:fill="FFFFFF"/>
        <w:spacing w:before="0" w:beforeAutospacing="0" w:after="0" w:afterAutospacing="0" w:line="400" w:lineRule="exact"/>
        <w:ind w:firstLine="480"/>
      </w:pPr>
      <w:r>
        <w:rPr>
          <w:rFonts w:hint="eastAsia"/>
        </w:rPr>
        <w:t>（一）重点引进培养人才及团队分类界定</w:t>
      </w:r>
    </w:p>
    <w:p>
      <w:pPr>
        <w:pStyle w:val="5"/>
        <w:shd w:val="clear" w:color="auto" w:fill="FFFFFF"/>
        <w:spacing w:before="0" w:beforeAutospacing="0" w:after="0" w:afterAutospacing="0" w:line="400" w:lineRule="exact"/>
        <w:ind w:firstLine="480"/>
      </w:pPr>
      <w:r>
        <w:rPr>
          <w:rFonts w:hint="eastAsia"/>
        </w:rPr>
        <w:t>符合时尚产业、信息经济、“五一○产业培育提升工程”发展要求，在电气、鞋业、服装、汽摩配、泵阀五大支柱产业和网络经济、旅游休闲、现代物流、激光与光电、临港石化、轨道交通、通用航空、新材料、文化创意、生命健康十大新兴产业以及金融、现代农业等领域，培养引进学术造诣高、创新创业能力强的领军型人才和团队。重点引进培养的人才主要包括：国内外顶尖人才（</w:t>
      </w:r>
      <w:r>
        <w:t>A</w:t>
      </w:r>
      <w:r>
        <w:rPr>
          <w:rFonts w:hint="eastAsia"/>
        </w:rPr>
        <w:t>类）、国家级领军人才（</w:t>
      </w:r>
      <w:r>
        <w:t>B</w:t>
      </w:r>
      <w:r>
        <w:rPr>
          <w:rFonts w:hint="eastAsia"/>
        </w:rPr>
        <w:t>类）、省级领军人才（</w:t>
      </w:r>
      <w:r>
        <w:t>C</w:t>
      </w:r>
      <w:r>
        <w:rPr>
          <w:rFonts w:hint="eastAsia"/>
        </w:rPr>
        <w:t>类）、市级领军人才（</w:t>
      </w:r>
      <w:r>
        <w:t>D</w:t>
      </w:r>
      <w:r>
        <w:rPr>
          <w:rFonts w:hint="eastAsia"/>
        </w:rPr>
        <w:t>类）、高级人才（</w:t>
      </w:r>
      <w:r>
        <w:t>E</w:t>
      </w:r>
      <w:r>
        <w:rPr>
          <w:rFonts w:hint="eastAsia"/>
        </w:rPr>
        <w:t>类）（具体分类目录附后）。领军型创新团队是指以科技创新领军人才为核心，致力于创新成果产业化的人才群体；领军型创业团队是指自带技术、项目、资金在温州创业，具有较好市场前景、能引领和带动我市产业发展的优秀团队。</w:t>
      </w:r>
    </w:p>
    <w:p>
      <w:pPr>
        <w:pStyle w:val="5"/>
        <w:shd w:val="clear" w:color="auto" w:fill="FFFFFF"/>
        <w:spacing w:before="0" w:beforeAutospacing="0" w:after="0" w:afterAutospacing="0" w:line="400" w:lineRule="exact"/>
        <w:ind w:firstLine="480"/>
      </w:pPr>
      <w:r>
        <w:rPr>
          <w:rFonts w:hint="eastAsia"/>
        </w:rPr>
        <w:t>（二）支持政策</w:t>
      </w:r>
    </w:p>
    <w:p>
      <w:pPr>
        <w:pStyle w:val="5"/>
        <w:shd w:val="clear" w:color="auto" w:fill="FFFFFF"/>
        <w:spacing w:before="0" w:beforeAutospacing="0" w:after="0" w:afterAutospacing="0" w:line="400" w:lineRule="exact"/>
        <w:ind w:firstLine="480"/>
      </w:pPr>
      <w:r>
        <w:t>1</w:t>
      </w:r>
      <w:r>
        <w:rPr>
          <w:rFonts w:hint="eastAsia"/>
        </w:rPr>
        <w:t>．加大领军型创新创业人才奖励资助力度。对符合我市产业发展导向，引进培养在我市工作或创业的</w:t>
      </w:r>
      <w:r>
        <w:t>A</w:t>
      </w:r>
      <w:r>
        <w:rPr>
          <w:rFonts w:hint="eastAsia"/>
        </w:rPr>
        <w:t>类人才，给予不少于</w:t>
      </w:r>
      <w:r>
        <w:t>1200</w:t>
      </w:r>
      <w:r>
        <w:rPr>
          <w:rFonts w:hint="eastAsia"/>
        </w:rPr>
        <w:t>万元的奖励资助，</w:t>
      </w:r>
      <w:r>
        <w:t>B</w:t>
      </w:r>
      <w:r>
        <w:rPr>
          <w:rFonts w:hint="eastAsia"/>
        </w:rPr>
        <w:t>、</w:t>
      </w:r>
      <w:r>
        <w:t>C</w:t>
      </w:r>
      <w:r>
        <w:rPr>
          <w:rFonts w:hint="eastAsia"/>
        </w:rPr>
        <w:t>、</w:t>
      </w:r>
      <w:r>
        <w:t>D</w:t>
      </w:r>
      <w:r>
        <w:rPr>
          <w:rFonts w:hint="eastAsia"/>
        </w:rPr>
        <w:t>、</w:t>
      </w:r>
      <w:r>
        <w:t>E</w:t>
      </w:r>
      <w:r>
        <w:rPr>
          <w:rFonts w:hint="eastAsia"/>
        </w:rPr>
        <w:t>类人才给予最高</w:t>
      </w:r>
      <w:r>
        <w:t xml:space="preserve"> 800</w:t>
      </w:r>
      <w:r>
        <w:rPr>
          <w:rFonts w:hint="eastAsia"/>
        </w:rPr>
        <w:t>万元、</w:t>
      </w:r>
      <w:r>
        <w:t>400</w:t>
      </w:r>
      <w:r>
        <w:rPr>
          <w:rFonts w:hint="eastAsia"/>
        </w:rPr>
        <w:t>万元、</w:t>
      </w:r>
      <w:r>
        <w:t>200</w:t>
      </w:r>
      <w:r>
        <w:rPr>
          <w:rFonts w:hint="eastAsia"/>
        </w:rPr>
        <w:t>万元、</w:t>
      </w:r>
      <w:r>
        <w:t>100</w:t>
      </w:r>
      <w:r>
        <w:rPr>
          <w:rFonts w:hint="eastAsia"/>
        </w:rPr>
        <w:t>万元的奖励资助，奖励资助包括个人奖励、住房补贴和创新创业科技项目资助等。</w:t>
      </w:r>
      <w:r>
        <w:t>A</w:t>
      </w:r>
      <w:r>
        <w:rPr>
          <w:rFonts w:hint="eastAsia"/>
        </w:rPr>
        <w:t>、</w:t>
      </w:r>
      <w:r>
        <w:t>B</w:t>
      </w:r>
      <w:r>
        <w:rPr>
          <w:rFonts w:hint="eastAsia"/>
        </w:rPr>
        <w:t>、</w:t>
      </w:r>
      <w:r>
        <w:t>C</w:t>
      </w:r>
      <w:r>
        <w:rPr>
          <w:rFonts w:hint="eastAsia"/>
        </w:rPr>
        <w:t>、</w:t>
      </w:r>
      <w:r>
        <w:t>D</w:t>
      </w:r>
      <w:r>
        <w:rPr>
          <w:rFonts w:hint="eastAsia"/>
        </w:rPr>
        <w:t>、</w:t>
      </w:r>
      <w:r>
        <w:t>E</w:t>
      </w:r>
      <w:r>
        <w:rPr>
          <w:rFonts w:hint="eastAsia"/>
        </w:rPr>
        <w:t>类人才领衔的团队也可申请领军型团队项目资助，就高予以资助。鼓励支持大学生创业，对优秀创业项目给予</w:t>
      </w:r>
      <w:r>
        <w:t>5</w:t>
      </w:r>
      <w:r>
        <w:rPr>
          <w:rFonts w:hint="eastAsia"/>
        </w:rPr>
        <w:t>－</w:t>
      </w:r>
      <w:r>
        <w:t>50</w:t>
      </w:r>
      <w:r>
        <w:rPr>
          <w:rFonts w:hint="eastAsia"/>
        </w:rPr>
        <w:t>万元的资助。</w:t>
      </w:r>
    </w:p>
    <w:p>
      <w:pPr>
        <w:pStyle w:val="5"/>
        <w:shd w:val="clear" w:color="auto" w:fill="FFFFFF"/>
        <w:spacing w:before="0" w:beforeAutospacing="0" w:after="0" w:afterAutospacing="0" w:line="400" w:lineRule="exact"/>
        <w:ind w:firstLine="480"/>
      </w:pPr>
      <w:r>
        <w:t>2</w:t>
      </w:r>
      <w:r>
        <w:rPr>
          <w:rFonts w:hint="eastAsia"/>
        </w:rPr>
        <w:t>．加大领军型创新创业团队奖励资助力度。着眼高、精、尖、缺，面向全球引进领军型创新创业团队。引进国内外先进技术水平、对产业发展有较大影响和效益的团队，给予</w:t>
      </w:r>
      <w:r>
        <w:t>200</w:t>
      </w:r>
      <w:r>
        <w:rPr>
          <w:rFonts w:hint="eastAsia"/>
        </w:rPr>
        <w:t>－</w:t>
      </w:r>
      <w:r>
        <w:t>1000</w:t>
      </w:r>
      <w:r>
        <w:rPr>
          <w:rFonts w:hint="eastAsia"/>
        </w:rPr>
        <w:t>万元的科技项目资助；引进国际领先技术水平、对产业发展有重大影响和效益的团队，给予</w:t>
      </w:r>
      <w:r>
        <w:t>1000</w:t>
      </w:r>
      <w:r>
        <w:rPr>
          <w:rFonts w:hint="eastAsia"/>
        </w:rPr>
        <w:t>－</w:t>
      </w:r>
      <w:r>
        <w:t>3000</w:t>
      </w:r>
      <w:r>
        <w:rPr>
          <w:rFonts w:hint="eastAsia"/>
        </w:rPr>
        <w:t>万元的科技项目资助；对顶尖团队的特别重大项目实行“一事一议”，最高给予</w:t>
      </w:r>
      <w:r>
        <w:t>1</w:t>
      </w:r>
      <w:r>
        <w:rPr>
          <w:rFonts w:hint="eastAsia"/>
        </w:rPr>
        <w:t>亿元的科技项目资助。对入选浙江省领军型创新创业团队的，在首个资助期内，按照不低于省级财政投入额度进行配套资助。</w:t>
      </w:r>
    </w:p>
    <w:p>
      <w:pPr>
        <w:pStyle w:val="5"/>
        <w:shd w:val="clear" w:color="auto" w:fill="FFFFFF"/>
        <w:spacing w:before="0" w:beforeAutospacing="0" w:after="0" w:afterAutospacing="0" w:line="400" w:lineRule="exact"/>
        <w:ind w:firstLine="480"/>
      </w:pPr>
      <w:r>
        <w:t>3</w:t>
      </w:r>
      <w:r>
        <w:rPr>
          <w:rFonts w:hint="eastAsia"/>
        </w:rPr>
        <w:t>．加快引进培养急需紧缺的人才智力项目。深入实施“海外工程师”引进计划，对引进年薪</w:t>
      </w:r>
      <w:r>
        <w:t>30</w:t>
      </w:r>
      <w:r>
        <w:rPr>
          <w:rFonts w:hint="eastAsia"/>
        </w:rPr>
        <w:t>万元以上海外高端技术管理人才的企业，给予</w:t>
      </w:r>
      <w:r>
        <w:t>10</w:t>
      </w:r>
      <w:r>
        <w:rPr>
          <w:rFonts w:hint="eastAsia"/>
        </w:rPr>
        <w:t>－</w:t>
      </w:r>
      <w:r>
        <w:t>30</w:t>
      </w:r>
      <w:r>
        <w:rPr>
          <w:rFonts w:hint="eastAsia"/>
        </w:rPr>
        <w:t>万元的资助，聘用时间</w:t>
      </w:r>
      <w:r>
        <w:t>3</w:t>
      </w:r>
      <w:r>
        <w:rPr>
          <w:rFonts w:hint="eastAsia"/>
        </w:rPr>
        <w:t>年以上，视情再给予资助；对引进的市级重点国外智力项目给予</w:t>
      </w:r>
      <w:r>
        <w:t>5</w:t>
      </w:r>
      <w:r>
        <w:rPr>
          <w:rFonts w:hint="eastAsia"/>
        </w:rPr>
        <w:t>万元资助。完善高级工以上高技能人才培养资助政策，被评定为中华技能大奖、钱江技能大奖、瓯江技能大奖的分别给予</w:t>
      </w:r>
      <w:r>
        <w:t>15</w:t>
      </w:r>
      <w:r>
        <w:rPr>
          <w:rFonts w:hint="eastAsia"/>
        </w:rPr>
        <w:t>万元、</w:t>
      </w:r>
      <w:r>
        <w:t>10</w:t>
      </w:r>
      <w:r>
        <w:rPr>
          <w:rFonts w:hint="eastAsia"/>
        </w:rPr>
        <w:t>万元、</w:t>
      </w:r>
      <w:r>
        <w:t>5</w:t>
      </w:r>
      <w:r>
        <w:rPr>
          <w:rFonts w:hint="eastAsia"/>
        </w:rPr>
        <w:t>万元奖励，被评定为省“首席技师”、市“首席技师”的分别给予</w:t>
      </w:r>
      <w:r>
        <w:t>5</w:t>
      </w:r>
      <w:r>
        <w:rPr>
          <w:rFonts w:hint="eastAsia"/>
        </w:rPr>
        <w:t>万元、</w:t>
      </w:r>
      <w:r>
        <w:t>2</w:t>
      </w:r>
      <w:r>
        <w:rPr>
          <w:rFonts w:hint="eastAsia"/>
        </w:rPr>
        <w:t>万元奖励，对省、市“技能大师工作室”给予</w:t>
      </w:r>
      <w:r>
        <w:t>5</w:t>
      </w:r>
      <w:r>
        <w:rPr>
          <w:rFonts w:hint="eastAsia"/>
        </w:rPr>
        <w:t>万元、</w:t>
      </w:r>
      <w:r>
        <w:t>3</w:t>
      </w:r>
      <w:r>
        <w:rPr>
          <w:rFonts w:hint="eastAsia"/>
        </w:rPr>
        <w:t>万元资助。加强企业高级经营管理人才和新生代企业家的培养提升。</w:t>
      </w:r>
    </w:p>
    <w:p>
      <w:pPr>
        <w:pStyle w:val="5"/>
        <w:shd w:val="clear" w:color="auto" w:fill="FFFFFF"/>
        <w:spacing w:before="0" w:beforeAutospacing="0" w:after="0" w:afterAutospacing="0" w:line="400" w:lineRule="exact"/>
        <w:ind w:firstLine="480"/>
      </w:pPr>
      <w:r>
        <w:t>4</w:t>
      </w:r>
      <w:r>
        <w:rPr>
          <w:rFonts w:hint="eastAsia"/>
        </w:rPr>
        <w:t>．发挥企事业单位引才育才主体作用。完善支持政策措施，鼓励企业、高校、科研机构等加大引才力度。对引进</w:t>
      </w:r>
      <w:r>
        <w:t>A</w:t>
      </w:r>
      <w:r>
        <w:rPr>
          <w:rFonts w:hint="eastAsia"/>
        </w:rPr>
        <w:t>、</w:t>
      </w:r>
      <w:r>
        <w:t>B</w:t>
      </w:r>
      <w:r>
        <w:rPr>
          <w:rFonts w:hint="eastAsia"/>
        </w:rPr>
        <w:t>、</w:t>
      </w:r>
      <w:r>
        <w:t>C</w:t>
      </w:r>
      <w:r>
        <w:rPr>
          <w:rFonts w:hint="eastAsia"/>
        </w:rPr>
        <w:t>、</w:t>
      </w:r>
      <w:r>
        <w:t>D</w:t>
      </w:r>
      <w:r>
        <w:rPr>
          <w:rFonts w:hint="eastAsia"/>
        </w:rPr>
        <w:t>类人才的企事业单位，给予</w:t>
      </w:r>
      <w:r>
        <w:t>60</w:t>
      </w:r>
      <w:r>
        <w:rPr>
          <w:rFonts w:hint="eastAsia"/>
        </w:rPr>
        <w:t>万元、</w:t>
      </w:r>
      <w:r>
        <w:t>30</w:t>
      </w:r>
      <w:r>
        <w:rPr>
          <w:rFonts w:hint="eastAsia"/>
        </w:rPr>
        <w:t>万元、</w:t>
      </w:r>
      <w:r>
        <w:t>10</w:t>
      </w:r>
      <w:r>
        <w:rPr>
          <w:rFonts w:hint="eastAsia"/>
        </w:rPr>
        <w:t>万元、</w:t>
      </w:r>
      <w:r>
        <w:t>5</w:t>
      </w:r>
      <w:r>
        <w:rPr>
          <w:rFonts w:hint="eastAsia"/>
        </w:rPr>
        <w:t>万元的奖励；对参加全市统一组织的赴国外招才引智活动，补贴参团民营企业代表交通费的</w:t>
      </w:r>
      <w:r>
        <w:t>50%</w:t>
      </w:r>
      <w:r>
        <w:rPr>
          <w:rFonts w:hint="eastAsia"/>
        </w:rPr>
        <w:t>，最高不超过</w:t>
      </w:r>
      <w:r>
        <w:t>2</w:t>
      </w:r>
      <w:r>
        <w:rPr>
          <w:rFonts w:hint="eastAsia"/>
        </w:rPr>
        <w:t>万元，对参加全市统一组织的赴国内招才引智活动，补贴一定费用。制定企业人才贡献积分制办法，根据企业税收、亩产、科技等贡献情况，在人才租赁住房补贴、人才公寓、人才子女入学方面给企业提供相对应的政策优惠。开展重才爱才工作创建活动，树立先进典型，营造引才育才良好环境。</w:t>
      </w:r>
    </w:p>
    <w:p>
      <w:pPr>
        <w:pStyle w:val="5"/>
        <w:shd w:val="clear" w:color="auto" w:fill="FFFFFF"/>
        <w:spacing w:before="0" w:beforeAutospacing="0" w:after="0" w:afterAutospacing="0" w:line="400" w:lineRule="exact"/>
        <w:ind w:firstLine="480"/>
      </w:pPr>
      <w:r>
        <w:t>5</w:t>
      </w:r>
      <w:r>
        <w:rPr>
          <w:rFonts w:hint="eastAsia"/>
        </w:rPr>
        <w:t>．健全市场化引才育才机制。发展壮大人才资源服务业，培育壮大本土龙头人才资源服务机构，引进一批优质人才中介和猎头机构，发挥人才资源市场的基础性配置作用。建立引才大使和引才顾问制度，加强中介引才、以才引才、乡情引才。完善引才激励制度，对为我市引进</w:t>
      </w:r>
      <w:r>
        <w:t>A</w:t>
      </w:r>
      <w:r>
        <w:rPr>
          <w:rFonts w:hint="eastAsia"/>
        </w:rPr>
        <w:t>、</w:t>
      </w:r>
      <w:r>
        <w:t>B</w:t>
      </w:r>
      <w:r>
        <w:rPr>
          <w:rFonts w:hint="eastAsia"/>
        </w:rPr>
        <w:t>、</w:t>
      </w:r>
      <w:r>
        <w:t>C</w:t>
      </w:r>
      <w:r>
        <w:rPr>
          <w:rFonts w:hint="eastAsia"/>
        </w:rPr>
        <w:t>、</w:t>
      </w:r>
      <w:r>
        <w:t>D</w:t>
      </w:r>
      <w:r>
        <w:rPr>
          <w:rFonts w:hint="eastAsia"/>
        </w:rPr>
        <w:t>类人才的中介组织、有关机构和个人，经认定，分别给予</w:t>
      </w:r>
      <w:r>
        <w:t>60</w:t>
      </w:r>
      <w:r>
        <w:rPr>
          <w:rFonts w:hint="eastAsia"/>
        </w:rPr>
        <w:t>万元、</w:t>
      </w:r>
      <w:r>
        <w:t>30</w:t>
      </w:r>
      <w:r>
        <w:rPr>
          <w:rFonts w:hint="eastAsia"/>
        </w:rPr>
        <w:t>万元、</w:t>
      </w:r>
      <w:r>
        <w:t>10</w:t>
      </w:r>
      <w:r>
        <w:rPr>
          <w:rFonts w:hint="eastAsia"/>
        </w:rPr>
        <w:t>万元、</w:t>
      </w:r>
      <w:r>
        <w:t>5</w:t>
      </w:r>
      <w:r>
        <w:rPr>
          <w:rFonts w:hint="eastAsia"/>
        </w:rPr>
        <w:t>万元的奖励；对为我市引进领军型团队的中介组织、有关机构和个人，经认定，给予</w:t>
      </w:r>
      <w:r>
        <w:t>10</w:t>
      </w:r>
      <w:r>
        <w:rPr>
          <w:rFonts w:hint="eastAsia"/>
        </w:rPr>
        <w:t>－</w:t>
      </w:r>
      <w:r>
        <w:t>60</w:t>
      </w:r>
      <w:r>
        <w:rPr>
          <w:rFonts w:hint="eastAsia"/>
        </w:rPr>
        <w:t>万元的奖励。对民营企业委托人才猎头机构招聘人才的，给予企业前期费用</w:t>
      </w:r>
      <w:r>
        <w:t>40</w:t>
      </w:r>
      <w:r>
        <w:rPr>
          <w:rFonts w:hint="eastAsia"/>
        </w:rPr>
        <w:t>－</w:t>
      </w:r>
      <w:r>
        <w:t>50%</w:t>
      </w:r>
      <w:r>
        <w:rPr>
          <w:rFonts w:hint="eastAsia"/>
        </w:rPr>
        <w:t>的补贴，最高不超过</w:t>
      </w:r>
      <w:r>
        <w:t>5</w:t>
      </w:r>
      <w:r>
        <w:rPr>
          <w:rFonts w:hint="eastAsia"/>
        </w:rPr>
        <w:t>万元。</w:t>
      </w:r>
    </w:p>
    <w:p>
      <w:pPr>
        <w:pStyle w:val="5"/>
        <w:shd w:val="clear" w:color="auto" w:fill="FFFFFF"/>
        <w:spacing w:before="0" w:beforeAutospacing="0" w:after="0" w:afterAutospacing="0" w:line="400" w:lineRule="exact"/>
        <w:ind w:firstLine="480"/>
      </w:pPr>
      <w:r>
        <w:t>6</w:t>
      </w:r>
      <w:r>
        <w:rPr>
          <w:rFonts w:hint="eastAsia"/>
        </w:rPr>
        <w:t>．做强做优人才发展平台。以温州国家级高新区、国家级经济技术开发区、国家级大学科技园、乐清“千人计划”产业园为引领，创建一批市级人才创新创业基地。每</w:t>
      </w:r>
      <w:r>
        <w:t>2</w:t>
      </w:r>
      <w:r>
        <w:rPr>
          <w:rFonts w:hint="eastAsia"/>
        </w:rPr>
        <w:t>年对市级以上人才基地进行考核，对考核优秀单位，给予</w:t>
      </w:r>
      <w:r>
        <w:t>10</w:t>
      </w:r>
      <w:r>
        <w:rPr>
          <w:rFonts w:hint="eastAsia"/>
        </w:rPr>
        <w:t>万元奖励。推进院士专家工作站、博士后科研工作站建设，对省级、市级院士专家工作站分别给予最高</w:t>
      </w:r>
      <w:r>
        <w:t>100</w:t>
      </w:r>
      <w:r>
        <w:rPr>
          <w:rFonts w:hint="eastAsia"/>
        </w:rPr>
        <w:t>万元、</w:t>
      </w:r>
      <w:r>
        <w:t>30</w:t>
      </w:r>
      <w:r>
        <w:rPr>
          <w:rFonts w:hint="eastAsia"/>
        </w:rPr>
        <w:t>万元资助；对国家级、省级、市级博士后科研工作站，分别给予最高</w:t>
      </w:r>
      <w:r>
        <w:t>100</w:t>
      </w:r>
      <w:r>
        <w:rPr>
          <w:rFonts w:hint="eastAsia"/>
        </w:rPr>
        <w:t>万元、</w:t>
      </w:r>
      <w:r>
        <w:t>50</w:t>
      </w:r>
      <w:r>
        <w:rPr>
          <w:rFonts w:hint="eastAsia"/>
        </w:rPr>
        <w:t>万元、</w:t>
      </w:r>
      <w:r>
        <w:t>30</w:t>
      </w:r>
      <w:r>
        <w:rPr>
          <w:rFonts w:hint="eastAsia"/>
        </w:rPr>
        <w:t>万元资助，资助包括建站补助、项目资助和人员经费。</w:t>
      </w:r>
    </w:p>
    <w:p>
      <w:pPr>
        <w:pStyle w:val="5"/>
        <w:shd w:val="clear" w:color="auto" w:fill="FFFFFF"/>
        <w:spacing w:before="0" w:beforeAutospacing="0" w:after="0" w:afterAutospacing="0" w:line="400" w:lineRule="exact"/>
        <w:ind w:firstLine="480"/>
      </w:pPr>
      <w:r>
        <w:t>7</w:t>
      </w:r>
      <w:r>
        <w:rPr>
          <w:rFonts w:hint="eastAsia"/>
        </w:rPr>
        <w:t>．强化人才创业融资扶持。探索建立科技金融专项资金，通过提供转贷引导基金、政策性担保、风险池资金等创新创业服务，引导银行、担保机构等为人才科技企业提供融资。大力引进培育风险投资机构、股权投资管理公司和天使投资者，引导社会资本投资人才项目和企业。对获得银行贷款的</w:t>
      </w:r>
      <w:r>
        <w:t>A</w:t>
      </w:r>
      <w:r>
        <w:rPr>
          <w:rFonts w:hint="eastAsia"/>
        </w:rPr>
        <w:t>、</w:t>
      </w:r>
      <w:r>
        <w:t>B</w:t>
      </w:r>
      <w:r>
        <w:rPr>
          <w:rFonts w:hint="eastAsia"/>
        </w:rPr>
        <w:t>、</w:t>
      </w:r>
      <w:r>
        <w:t>C</w:t>
      </w:r>
      <w:r>
        <w:rPr>
          <w:rFonts w:hint="eastAsia"/>
        </w:rPr>
        <w:t>类人才创业企业，经认定，给予最高</w:t>
      </w:r>
      <w:r>
        <w:t>1000</w:t>
      </w:r>
      <w:r>
        <w:rPr>
          <w:rFonts w:hint="eastAsia"/>
        </w:rPr>
        <w:t>万元、</w:t>
      </w:r>
      <w:r>
        <w:t>500</w:t>
      </w:r>
      <w:r>
        <w:rPr>
          <w:rFonts w:hint="eastAsia"/>
        </w:rPr>
        <w:t>万元、</w:t>
      </w:r>
      <w:r>
        <w:t>300</w:t>
      </w:r>
      <w:r>
        <w:rPr>
          <w:rFonts w:hint="eastAsia"/>
        </w:rPr>
        <w:t>万元贷款额的同期银行基准利率贴息补助（低于基准利率的，以实际利率为准）。对获风险投资且资金实际到位的</w:t>
      </w:r>
      <w:r>
        <w:t>A</w:t>
      </w:r>
      <w:r>
        <w:rPr>
          <w:rFonts w:hint="eastAsia"/>
        </w:rPr>
        <w:t>、</w:t>
      </w:r>
      <w:r>
        <w:t>B</w:t>
      </w:r>
      <w:r>
        <w:rPr>
          <w:rFonts w:hint="eastAsia"/>
        </w:rPr>
        <w:t>、</w:t>
      </w:r>
      <w:r>
        <w:t>C</w:t>
      </w:r>
      <w:r>
        <w:rPr>
          <w:rFonts w:hint="eastAsia"/>
        </w:rPr>
        <w:t>类人才创业企业，可给予实际到位资金</w:t>
      </w:r>
      <w:r>
        <w:t>20%</w:t>
      </w:r>
      <w:r>
        <w:rPr>
          <w:rFonts w:hint="eastAsia"/>
        </w:rPr>
        <w:t>－</w:t>
      </w:r>
      <w:r>
        <w:t>100%</w:t>
      </w:r>
      <w:r>
        <w:rPr>
          <w:rFonts w:hint="eastAsia"/>
        </w:rPr>
        <w:t>的增信担保。</w:t>
      </w:r>
    </w:p>
    <w:p>
      <w:pPr>
        <w:pStyle w:val="5"/>
        <w:shd w:val="clear" w:color="auto" w:fill="FFFFFF"/>
        <w:spacing w:before="0" w:beforeAutospacing="0" w:after="0" w:afterAutospacing="0" w:line="400" w:lineRule="exact"/>
        <w:ind w:firstLine="480"/>
      </w:pPr>
      <w:r>
        <w:t>8</w:t>
      </w:r>
      <w:r>
        <w:rPr>
          <w:rFonts w:hint="eastAsia"/>
        </w:rPr>
        <w:t>．加强人才住房保障。落实人才住房政策，对</w:t>
      </w:r>
      <w:r>
        <w:t>A</w:t>
      </w:r>
      <w:r>
        <w:rPr>
          <w:rFonts w:hint="eastAsia"/>
        </w:rPr>
        <w:t>类人才奖励一套住房，对</w:t>
      </w:r>
      <w:r>
        <w:t>B</w:t>
      </w:r>
      <w:r>
        <w:rPr>
          <w:rFonts w:hint="eastAsia"/>
        </w:rPr>
        <w:t>、</w:t>
      </w:r>
      <w:r>
        <w:t>C</w:t>
      </w:r>
      <w:r>
        <w:rPr>
          <w:rFonts w:hint="eastAsia"/>
        </w:rPr>
        <w:t>、</w:t>
      </w:r>
      <w:r>
        <w:t>D</w:t>
      </w:r>
      <w:r>
        <w:rPr>
          <w:rFonts w:hint="eastAsia"/>
        </w:rPr>
        <w:t>类人才分别给予</w:t>
      </w:r>
      <w:r>
        <w:t>100</w:t>
      </w:r>
      <w:r>
        <w:rPr>
          <w:rFonts w:hint="eastAsia"/>
        </w:rPr>
        <w:t>万元、</w:t>
      </w:r>
      <w:r>
        <w:t>80</w:t>
      </w:r>
      <w:r>
        <w:rPr>
          <w:rFonts w:hint="eastAsia"/>
        </w:rPr>
        <w:t>万元、</w:t>
      </w:r>
      <w:r>
        <w:t>60</w:t>
      </w:r>
      <w:r>
        <w:rPr>
          <w:rFonts w:hint="eastAsia"/>
        </w:rPr>
        <w:t>万元的专项购房优惠或购房补贴，对省级以上技能大奖获得者、在民营企业工作的正高级职称人才给予</w:t>
      </w:r>
      <w:r>
        <w:t>40</w:t>
      </w:r>
      <w:r>
        <w:rPr>
          <w:rFonts w:hint="eastAsia"/>
        </w:rPr>
        <w:t>万元的购房补贴；对</w:t>
      </w:r>
      <w:r>
        <w:t>E</w:t>
      </w:r>
      <w:r>
        <w:rPr>
          <w:rFonts w:hint="eastAsia"/>
        </w:rPr>
        <w:t>类人才和新就业本科学历高校毕业生分别提供</w:t>
      </w:r>
      <w:r>
        <w:t>900</w:t>
      </w:r>
      <w:r>
        <w:rPr>
          <w:rFonts w:hint="eastAsia"/>
        </w:rPr>
        <w:t>元</w:t>
      </w:r>
      <w:r>
        <w:t>/</w:t>
      </w:r>
      <w:r>
        <w:rPr>
          <w:rFonts w:hint="eastAsia"/>
        </w:rPr>
        <w:t>月、</w:t>
      </w:r>
      <w:r>
        <w:t>450</w:t>
      </w:r>
      <w:r>
        <w:rPr>
          <w:rFonts w:hint="eastAsia"/>
        </w:rPr>
        <w:t>元</w:t>
      </w:r>
      <w:r>
        <w:t>/</w:t>
      </w:r>
      <w:r>
        <w:rPr>
          <w:rFonts w:hint="eastAsia"/>
        </w:rPr>
        <w:t>月的租房补贴，补贴期限不超过</w:t>
      </w:r>
      <w:r>
        <w:t>3</w:t>
      </w:r>
      <w:r>
        <w:rPr>
          <w:rFonts w:hint="eastAsia"/>
        </w:rPr>
        <w:t>年；</w:t>
      </w:r>
      <w:r>
        <w:t>A</w:t>
      </w:r>
      <w:r>
        <w:rPr>
          <w:rFonts w:hint="eastAsia"/>
        </w:rPr>
        <w:t>、</w:t>
      </w:r>
      <w:r>
        <w:t>B</w:t>
      </w:r>
      <w:r>
        <w:rPr>
          <w:rFonts w:hint="eastAsia"/>
        </w:rPr>
        <w:t>、</w:t>
      </w:r>
      <w:r>
        <w:t>C</w:t>
      </w:r>
      <w:r>
        <w:rPr>
          <w:rFonts w:hint="eastAsia"/>
        </w:rPr>
        <w:t>、</w:t>
      </w:r>
      <w:r>
        <w:t>D</w:t>
      </w:r>
      <w:r>
        <w:rPr>
          <w:rFonts w:hint="eastAsia"/>
        </w:rPr>
        <w:t>、</w:t>
      </w:r>
      <w:r>
        <w:t>E</w:t>
      </w:r>
      <w:r>
        <w:rPr>
          <w:rFonts w:hint="eastAsia"/>
        </w:rPr>
        <w:t>类人才可按规定申请租住人才公寓，给予一定的租金优惠。</w:t>
      </w:r>
    </w:p>
    <w:p>
      <w:pPr>
        <w:pStyle w:val="5"/>
        <w:shd w:val="clear" w:color="auto" w:fill="FFFFFF"/>
        <w:spacing w:before="0" w:beforeAutospacing="0" w:after="0" w:afterAutospacing="0" w:line="400" w:lineRule="exact"/>
        <w:ind w:firstLine="480"/>
      </w:pPr>
      <w:r>
        <w:t>9</w:t>
      </w:r>
      <w:r>
        <w:rPr>
          <w:rFonts w:hint="eastAsia"/>
        </w:rPr>
        <w:t>．优化人才生活服务保障。妥善解决人才居留落户问题，按政策规定为人才优先办理《外国人永久居留证》《浙江省海外高层次人才居住证》、多次往返签证等手续，办理本人及配偶、未成年子女随迁落户手续。帮助解决人才子女入学问题，在义务教育阶段的，</w:t>
      </w:r>
      <w:r>
        <w:t>A</w:t>
      </w:r>
      <w:r>
        <w:rPr>
          <w:rFonts w:hint="eastAsia"/>
        </w:rPr>
        <w:t>、</w:t>
      </w:r>
      <w:r>
        <w:t>B</w:t>
      </w:r>
      <w:r>
        <w:rPr>
          <w:rFonts w:hint="eastAsia"/>
        </w:rPr>
        <w:t>、</w:t>
      </w:r>
      <w:r>
        <w:t>C</w:t>
      </w:r>
      <w:r>
        <w:rPr>
          <w:rFonts w:hint="eastAsia"/>
        </w:rPr>
        <w:t>、</w:t>
      </w:r>
      <w:r>
        <w:t>D</w:t>
      </w:r>
      <w:r>
        <w:rPr>
          <w:rFonts w:hint="eastAsia"/>
        </w:rPr>
        <w:t>类人才子女可根据本人实际情况，由市、区教育行政部门优先照顾入学；</w:t>
      </w:r>
      <w:r>
        <w:t>E</w:t>
      </w:r>
      <w:r>
        <w:rPr>
          <w:rFonts w:hint="eastAsia"/>
        </w:rPr>
        <w:t>类人才子女由市、区教育行政部门统筹协调就近安排公办学校就学。</w:t>
      </w:r>
      <w:r>
        <w:t>B</w:t>
      </w:r>
      <w:r>
        <w:rPr>
          <w:rFonts w:hint="eastAsia"/>
        </w:rPr>
        <w:t>、</w:t>
      </w:r>
      <w:r>
        <w:t>C</w:t>
      </w:r>
      <w:r>
        <w:rPr>
          <w:rFonts w:hint="eastAsia"/>
        </w:rPr>
        <w:t>类人才定期安排健康体检、疗养休假等活动，在卫生医疗机构开设“绿色通道”，</w:t>
      </w:r>
      <w:r>
        <w:t>A</w:t>
      </w:r>
      <w:r>
        <w:rPr>
          <w:rFonts w:hint="eastAsia"/>
        </w:rPr>
        <w:t>类人才参照市级医疗保健对象落实相关医疗保健待遇。完善党政领导直接联系人才制度。</w:t>
      </w:r>
    </w:p>
    <w:p>
      <w:pPr>
        <w:pStyle w:val="5"/>
        <w:shd w:val="clear" w:color="auto" w:fill="FFFFFF"/>
        <w:spacing w:before="0" w:beforeAutospacing="0" w:after="0" w:afterAutospacing="0" w:line="400" w:lineRule="exact"/>
        <w:ind w:firstLine="480"/>
      </w:pPr>
      <w:r>
        <w:t>10</w:t>
      </w:r>
      <w:r>
        <w:rPr>
          <w:rFonts w:hint="eastAsia"/>
        </w:rPr>
        <w:t>．建立人才分类评价机制。完善适应各类人才特点的人才评价制度，围绕温州产业发展重点，坚持定性与定量相结合，逐步建立层次清、标准高、易操作的人才分类评价制度，制定团队、项目评价规范要求，对</w:t>
      </w:r>
      <w:r>
        <w:t>A</w:t>
      </w:r>
      <w:r>
        <w:rPr>
          <w:rFonts w:hint="eastAsia"/>
        </w:rPr>
        <w:t>、</w:t>
      </w:r>
      <w:r>
        <w:t>B</w:t>
      </w:r>
      <w:r>
        <w:rPr>
          <w:rFonts w:hint="eastAsia"/>
        </w:rPr>
        <w:t>、</w:t>
      </w:r>
      <w:r>
        <w:t>C</w:t>
      </w:r>
      <w:r>
        <w:rPr>
          <w:rFonts w:hint="eastAsia"/>
        </w:rPr>
        <w:t>、</w:t>
      </w:r>
      <w:r>
        <w:t>D</w:t>
      </w:r>
      <w:r>
        <w:rPr>
          <w:rFonts w:hint="eastAsia"/>
        </w:rPr>
        <w:t>、</w:t>
      </w:r>
      <w:r>
        <w:t>E</w:t>
      </w:r>
      <w:r>
        <w:rPr>
          <w:rFonts w:hint="eastAsia"/>
        </w:rPr>
        <w:t>类人才目录进行动态调整。对温州产业发展急需、社会贡献较大、现行人才目录难以界定的“偏才”“专才”，经市招才局（市委人才工作领导小组办公室）会同有关部门、专家认定后，可享受相应的人才政策。</w:t>
      </w:r>
    </w:p>
    <w:p>
      <w:pPr>
        <w:pStyle w:val="5"/>
        <w:shd w:val="clear" w:color="auto" w:fill="FFFFFF"/>
        <w:spacing w:before="0" w:beforeAutospacing="0" w:after="0" w:afterAutospacing="0" w:line="400" w:lineRule="exact"/>
        <w:ind w:firstLine="480"/>
      </w:pPr>
      <w:r>
        <w:rPr>
          <w:rStyle w:val="7"/>
          <w:rFonts w:hint="eastAsia" w:cs="宋体"/>
        </w:rPr>
        <w:t>三、切实加强组织领导</w:t>
      </w:r>
    </w:p>
    <w:p>
      <w:pPr>
        <w:pStyle w:val="5"/>
        <w:shd w:val="clear" w:color="auto" w:fill="FFFFFF"/>
        <w:spacing w:before="0" w:beforeAutospacing="0" w:after="0" w:afterAutospacing="0" w:line="400" w:lineRule="exact"/>
        <w:ind w:firstLine="480"/>
      </w:pPr>
      <w:r>
        <w:rPr>
          <w:rFonts w:hint="eastAsia"/>
        </w:rPr>
        <w:t>领军型人才和团队的引进培养工作在市委、市政府的统一领导下，由市委人才工作领导小组组织实施，市招才局（市委人才工作领导小组办公室）牵头协调，制定具体政策实施办法，做好政策兑现落实工作，市人力社保局、市科技局、市财政局等职能部门各司其职、加强协作。加大市财政人才投入力度，根据本政策实际需要，对市级人才专项资金进行整合提升，由市招才局（市委人才工作领导小组办公室）牵头统筹。本政策所涉及的奖励资助经费，在市级单位或在温省部属事业单位的，由市级财政承担；在</w:t>
      </w:r>
      <w:r>
        <w:t>3</w:t>
      </w:r>
      <w:r>
        <w:rPr>
          <w:rFonts w:hint="eastAsia"/>
        </w:rPr>
        <w:t>个区、市级功能区的，市财政按市级标准</w:t>
      </w:r>
      <w:r>
        <w:t>50%</w:t>
      </w:r>
      <w:r>
        <w:rPr>
          <w:rFonts w:hint="eastAsia"/>
        </w:rPr>
        <w:t>给予补助；其他县（市）自行制定配套人才政策。涉及同一项目的资助，采用“就高”的原则，避免重复资助，提高资金使用效益。</w:t>
      </w:r>
    </w:p>
    <w:p>
      <w:pPr>
        <w:pStyle w:val="5"/>
        <w:shd w:val="clear" w:color="auto" w:fill="FFFFFF"/>
        <w:spacing w:before="0" w:beforeAutospacing="0" w:after="0" w:afterAutospacing="0" w:line="400" w:lineRule="exact"/>
        <w:ind w:firstLine="480"/>
      </w:pPr>
      <w:r>
        <w:rPr>
          <w:rFonts w:hint="eastAsia"/>
        </w:rPr>
        <w:t>市招才局（市委人才工作领导小组办公室）、市财政局牵头市直相关部门，对人才政策落实情况和执行效果开展绩效评估，根据评估结果及时研究调整政策。加强政策宣传工作，利用各种渠道、各类媒体及时宣传推广温州人才政策，提高政策知名度和影响力。</w:t>
      </w:r>
    </w:p>
    <w:p>
      <w:pPr>
        <w:pStyle w:val="5"/>
        <w:shd w:val="clear" w:color="auto" w:fill="FFFFFF"/>
        <w:spacing w:before="0" w:beforeAutospacing="0" w:after="0" w:afterAutospacing="0" w:line="400" w:lineRule="exact"/>
        <w:ind w:firstLine="480"/>
      </w:pPr>
      <w:r>
        <w:rPr>
          <w:rFonts w:hint="eastAsia"/>
        </w:rPr>
        <w:t>本意见自发文之日起实施，与我市已有人才政策有重复、交叉的，按照“从优、不重复”原则执行。</w:t>
      </w:r>
    </w:p>
    <w:p>
      <w:pPr>
        <w:pStyle w:val="5"/>
        <w:shd w:val="clear" w:color="auto" w:fill="FFFFFF"/>
        <w:spacing w:before="0" w:beforeAutospacing="0" w:after="0" w:afterAutospacing="0" w:line="400" w:lineRule="exact"/>
        <w:ind w:firstLine="480"/>
      </w:pPr>
    </w:p>
    <w:p>
      <w:pPr>
        <w:pStyle w:val="5"/>
        <w:shd w:val="clear" w:color="auto" w:fill="FFFFFF"/>
        <w:spacing w:before="0" w:beforeAutospacing="0" w:after="0" w:afterAutospacing="0" w:line="400" w:lineRule="exact"/>
        <w:ind w:firstLine="480"/>
      </w:pPr>
    </w:p>
    <w:p>
      <w:pPr>
        <w:pStyle w:val="5"/>
        <w:shd w:val="clear" w:color="auto" w:fill="FFFFFF"/>
        <w:spacing w:before="0" w:beforeAutospacing="0" w:after="0" w:afterAutospacing="0" w:line="400" w:lineRule="exact"/>
        <w:ind w:firstLine="480"/>
        <w:jc w:val="right"/>
      </w:pPr>
      <w:r>
        <w:rPr>
          <w:rFonts w:hint="eastAsia"/>
        </w:rPr>
        <w:t>中共温州市委办公室</w:t>
      </w:r>
    </w:p>
    <w:p>
      <w:pPr>
        <w:pStyle w:val="5"/>
        <w:shd w:val="clear" w:color="auto" w:fill="FFFFFF"/>
        <w:spacing w:before="0" w:beforeAutospacing="0" w:after="0" w:afterAutospacing="0" w:line="400" w:lineRule="exact"/>
        <w:ind w:firstLine="480"/>
        <w:jc w:val="right"/>
      </w:pPr>
      <w:r>
        <w:rPr>
          <w:rFonts w:hint="eastAsia"/>
        </w:rPr>
        <w:t>温州市人民政府办公室</w:t>
      </w:r>
    </w:p>
    <w:p>
      <w:pPr>
        <w:pStyle w:val="5"/>
        <w:shd w:val="clear" w:color="auto" w:fill="FFFFFF"/>
        <w:spacing w:before="0" w:beforeAutospacing="0" w:after="0" w:afterAutospacing="0" w:line="400" w:lineRule="exact"/>
        <w:ind w:firstLine="480"/>
        <w:jc w:val="right"/>
      </w:pPr>
      <w:r>
        <w:t>2015</w:t>
      </w:r>
      <w:r>
        <w:rPr>
          <w:rFonts w:hint="eastAsia"/>
        </w:rPr>
        <w:t>年</w:t>
      </w:r>
      <w:r>
        <w:t>4</w:t>
      </w:r>
      <w:r>
        <w:rPr>
          <w:rFonts w:hint="eastAsia"/>
        </w:rPr>
        <w:t>月</w:t>
      </w:r>
      <w:r>
        <w:t>20</w:t>
      </w:r>
      <w:r>
        <w:rPr>
          <w:rFonts w:hint="eastAsia"/>
        </w:rPr>
        <w:t>日</w:t>
      </w:r>
    </w:p>
    <w:p>
      <w:pPr>
        <w:spacing w:line="360" w:lineRule="auto"/>
        <w:rPr>
          <w:kern w:val="0"/>
        </w:rPr>
      </w:pPr>
    </w:p>
    <w:p>
      <w:pPr>
        <w:spacing w:line="360" w:lineRule="auto"/>
        <w:rPr>
          <w:kern w:val="0"/>
        </w:rPr>
      </w:pPr>
    </w:p>
    <w:p>
      <w:pPr>
        <w:spacing w:line="360" w:lineRule="auto"/>
        <w:rPr>
          <w:kern w:val="0"/>
        </w:rPr>
      </w:pPr>
    </w:p>
    <w:p>
      <w:pPr>
        <w:spacing w:line="360" w:lineRule="auto"/>
        <w:rPr>
          <w:kern w:val="0"/>
        </w:rPr>
      </w:pPr>
    </w:p>
    <w:p>
      <w:pPr>
        <w:spacing w:line="360" w:lineRule="auto"/>
        <w:rPr>
          <w:kern w:val="0"/>
        </w:rPr>
      </w:pPr>
    </w:p>
    <w:p>
      <w:pPr>
        <w:spacing w:line="360" w:lineRule="auto"/>
        <w:rPr>
          <w:kern w:val="0"/>
        </w:rPr>
      </w:pPr>
    </w:p>
    <w:p>
      <w:pPr>
        <w:spacing w:line="360" w:lineRule="auto"/>
        <w:rPr>
          <w:kern w:val="0"/>
        </w:rPr>
      </w:pPr>
    </w:p>
    <w:p>
      <w:pPr>
        <w:spacing w:line="360" w:lineRule="auto"/>
        <w:rPr>
          <w:kern w:val="0"/>
        </w:rPr>
      </w:pPr>
    </w:p>
    <w:p>
      <w:pPr>
        <w:spacing w:line="360" w:lineRule="auto"/>
        <w:rPr>
          <w:kern w:val="0"/>
        </w:rPr>
      </w:pPr>
    </w:p>
    <w:p>
      <w:pPr>
        <w:spacing w:line="360" w:lineRule="auto"/>
        <w:rPr>
          <w:kern w:val="0"/>
        </w:rPr>
      </w:pPr>
    </w:p>
    <w:p>
      <w:pPr>
        <w:spacing w:line="360" w:lineRule="auto"/>
        <w:rPr>
          <w:kern w:val="0"/>
        </w:rPr>
      </w:pPr>
    </w:p>
    <w:p>
      <w:pPr>
        <w:spacing w:line="360" w:lineRule="auto"/>
        <w:rPr>
          <w:kern w:val="0"/>
        </w:rPr>
      </w:pPr>
    </w:p>
    <w:p>
      <w:pPr>
        <w:spacing w:line="360" w:lineRule="auto"/>
        <w:rPr>
          <w:kern w:val="0"/>
        </w:rPr>
      </w:pPr>
    </w:p>
    <w:p>
      <w:pPr>
        <w:spacing w:line="360" w:lineRule="auto"/>
        <w:rPr>
          <w:rFonts w:hAnsi="宋体" w:eastAsia="仿宋_GB2312" w:cs="宋体"/>
          <w:kern w:val="0"/>
          <w:sz w:val="32"/>
          <w:szCs w:val="32"/>
        </w:rPr>
      </w:pPr>
    </w:p>
    <w:tbl>
      <w:tblPr>
        <w:tblStyle w:val="10"/>
        <w:tblW w:w="8845" w:type="dxa"/>
        <w:jc w:val="center"/>
        <w:tblInd w:w="0" w:type="dxa"/>
        <w:tblLayout w:type="fixed"/>
        <w:tblCellMar>
          <w:top w:w="0" w:type="dxa"/>
          <w:left w:w="108" w:type="dxa"/>
          <w:bottom w:w="0" w:type="dxa"/>
          <w:right w:w="108" w:type="dxa"/>
        </w:tblCellMar>
      </w:tblPr>
      <w:tblGrid>
        <w:gridCol w:w="7043"/>
        <w:gridCol w:w="1802"/>
      </w:tblGrid>
      <w:tr>
        <w:tblPrEx>
          <w:tblLayout w:type="fixed"/>
          <w:tblCellMar>
            <w:top w:w="0" w:type="dxa"/>
            <w:left w:w="108" w:type="dxa"/>
            <w:bottom w:w="0" w:type="dxa"/>
            <w:right w:w="108" w:type="dxa"/>
          </w:tblCellMar>
        </w:tblPrEx>
        <w:trPr>
          <w:jc w:val="center"/>
        </w:trPr>
        <w:tc>
          <w:tcPr>
            <w:tcW w:w="7043" w:type="dxa"/>
          </w:tcPr>
          <w:p>
            <w:pPr>
              <w:spacing w:line="900" w:lineRule="exact"/>
              <w:jc w:val="distribute"/>
              <w:rPr>
                <w:rFonts w:ascii="方正小标宋简体" w:eastAsia="方正小标宋简体"/>
                <w:spacing w:val="-30"/>
                <w:w w:val="70"/>
                <w:sz w:val="66"/>
                <w:szCs w:val="66"/>
              </w:rPr>
            </w:pPr>
            <w:r>
              <w:rPr>
                <w:rFonts w:hint="eastAsia" w:ascii="方正小标宋简体" w:eastAsia="方正小标宋简体"/>
                <w:spacing w:val="-30"/>
                <w:w w:val="70"/>
                <w:sz w:val="66"/>
                <w:szCs w:val="66"/>
              </w:rPr>
              <w:t>中共温州市委人才工作领导小组办公室</w:t>
            </w:r>
          </w:p>
          <w:p>
            <w:pPr>
              <w:spacing w:line="900" w:lineRule="exact"/>
              <w:jc w:val="distribute"/>
              <w:rPr>
                <w:rFonts w:ascii="方正小标宋简体" w:eastAsia="方正小标宋简体"/>
                <w:spacing w:val="-30"/>
                <w:w w:val="70"/>
                <w:sz w:val="66"/>
                <w:szCs w:val="66"/>
              </w:rPr>
            </w:pPr>
            <w:r>
              <w:rPr>
                <w:rFonts w:hint="eastAsia" w:ascii="方正小标宋简体" w:eastAsia="方正小标宋简体"/>
                <w:spacing w:val="-30"/>
                <w:w w:val="70"/>
                <w:sz w:val="66"/>
                <w:szCs w:val="66"/>
              </w:rPr>
              <w:t>温州市教育局</w:t>
            </w:r>
          </w:p>
          <w:p>
            <w:pPr>
              <w:spacing w:line="900" w:lineRule="exact"/>
              <w:jc w:val="distribute"/>
              <w:rPr>
                <w:rFonts w:ascii="方正小标宋简体" w:eastAsia="方正小标宋简体"/>
                <w:spacing w:val="-30"/>
                <w:w w:val="70"/>
                <w:sz w:val="66"/>
                <w:szCs w:val="66"/>
              </w:rPr>
            </w:pPr>
            <w:r>
              <w:rPr>
                <w:rFonts w:hint="eastAsia" w:ascii="方正小标宋简体" w:eastAsia="方正小标宋简体"/>
                <w:spacing w:val="-30"/>
                <w:w w:val="70"/>
                <w:sz w:val="66"/>
                <w:szCs w:val="66"/>
              </w:rPr>
              <w:t>温州市科学技术局</w:t>
            </w:r>
          </w:p>
          <w:p>
            <w:pPr>
              <w:spacing w:line="900" w:lineRule="exact"/>
              <w:jc w:val="distribute"/>
              <w:rPr>
                <w:rFonts w:ascii="方正小标宋简体" w:eastAsia="方正小标宋简体"/>
                <w:spacing w:val="-30"/>
                <w:w w:val="70"/>
                <w:sz w:val="66"/>
                <w:szCs w:val="66"/>
              </w:rPr>
            </w:pPr>
            <w:r>
              <w:rPr>
                <w:rFonts w:hint="eastAsia" w:ascii="方正小标宋简体" w:eastAsia="方正小标宋简体"/>
                <w:spacing w:val="-30"/>
                <w:w w:val="70"/>
                <w:sz w:val="66"/>
                <w:szCs w:val="66"/>
              </w:rPr>
              <w:t>温州市财政局</w:t>
            </w:r>
          </w:p>
          <w:p>
            <w:pPr>
              <w:spacing w:line="900" w:lineRule="exact"/>
              <w:jc w:val="distribute"/>
              <w:rPr>
                <w:rFonts w:ascii="方正小标宋简体" w:eastAsia="方正小标宋简体"/>
                <w:spacing w:val="-30"/>
                <w:w w:val="70"/>
                <w:sz w:val="66"/>
                <w:szCs w:val="66"/>
              </w:rPr>
            </w:pPr>
            <w:r>
              <w:rPr>
                <w:rFonts w:hint="eastAsia" w:ascii="方正小标宋简体" w:eastAsia="方正小标宋简体"/>
                <w:spacing w:val="-30"/>
                <w:w w:val="70"/>
                <w:sz w:val="66"/>
                <w:szCs w:val="66"/>
              </w:rPr>
              <w:t>温州市人力资源和社会保障局</w:t>
            </w:r>
          </w:p>
          <w:p>
            <w:pPr>
              <w:spacing w:line="900" w:lineRule="exact"/>
              <w:jc w:val="distribute"/>
              <w:rPr>
                <w:rFonts w:ascii="方正小标宋简体" w:eastAsia="方正小标宋简体"/>
                <w:spacing w:val="-30"/>
                <w:w w:val="70"/>
                <w:sz w:val="66"/>
                <w:szCs w:val="66"/>
              </w:rPr>
            </w:pPr>
            <w:r>
              <w:rPr>
                <w:rFonts w:hint="eastAsia" w:ascii="方正小标宋简体" w:eastAsia="方正小标宋简体"/>
                <w:spacing w:val="-30"/>
                <w:w w:val="70"/>
                <w:sz w:val="66"/>
                <w:szCs w:val="66"/>
              </w:rPr>
              <w:t>温州市住房和城乡建设委员会</w:t>
            </w:r>
          </w:p>
        </w:tc>
        <w:tc>
          <w:tcPr>
            <w:tcW w:w="1802" w:type="dxa"/>
            <w:vAlign w:val="center"/>
          </w:tcPr>
          <w:p>
            <w:pPr>
              <w:spacing w:line="1000" w:lineRule="exact"/>
              <w:jc w:val="center"/>
              <w:rPr>
                <w:rFonts w:ascii="方正小标宋简体" w:eastAsia="方正小标宋简体"/>
                <w:w w:val="90"/>
                <w:sz w:val="86"/>
                <w:szCs w:val="86"/>
              </w:rPr>
            </w:pPr>
            <w:r>
              <w:rPr>
                <w:rFonts w:hint="eastAsia" w:ascii="方正小标宋简体" w:eastAsia="方正小标宋简体"/>
                <w:w w:val="90"/>
                <w:sz w:val="86"/>
                <w:szCs w:val="86"/>
              </w:rPr>
              <w:t>文件</w:t>
            </w:r>
          </w:p>
        </w:tc>
      </w:tr>
    </w:tbl>
    <w:p>
      <w:pPr>
        <w:spacing w:line="600" w:lineRule="exact"/>
        <w:ind w:firstLine="640" w:firstLineChars="200"/>
        <w:rPr>
          <w:rFonts w:eastAsia="仿宋_GB2312"/>
          <w:sz w:val="32"/>
          <w:szCs w:val="32"/>
        </w:rPr>
      </w:pPr>
    </w:p>
    <w:p>
      <w:pPr>
        <w:jc w:val="center"/>
        <w:rPr>
          <w:rFonts w:eastAsia="仿宋_GB2312"/>
          <w:sz w:val="32"/>
          <w:szCs w:val="32"/>
        </w:rPr>
      </w:pPr>
      <w:r>
        <w:rPr>
          <w:rFonts w:hint="eastAsia" w:eastAsia="仿宋_GB2312"/>
          <w:sz w:val="32"/>
          <w:szCs w:val="32"/>
        </w:rPr>
        <w:t>温委人办〔</w:t>
      </w:r>
      <w:r>
        <w:rPr>
          <w:rFonts w:eastAsia="仿宋_GB2312"/>
          <w:sz w:val="32"/>
          <w:szCs w:val="32"/>
        </w:rPr>
        <w:t>2017</w:t>
      </w:r>
      <w:r>
        <w:rPr>
          <w:rFonts w:hint="eastAsia" w:eastAsia="仿宋_GB2312"/>
          <w:sz w:val="32"/>
          <w:szCs w:val="32"/>
        </w:rPr>
        <w:t>〕</w:t>
      </w:r>
      <w:r>
        <w:rPr>
          <w:rFonts w:eastAsia="仿宋_GB2312"/>
          <w:sz w:val="32"/>
          <w:szCs w:val="32"/>
        </w:rPr>
        <w:t>2</w:t>
      </w:r>
      <w:r>
        <w:rPr>
          <w:rFonts w:hint="eastAsia" w:eastAsia="仿宋_GB2312"/>
          <w:sz w:val="32"/>
          <w:szCs w:val="32"/>
        </w:rPr>
        <w:t>号</w:t>
      </w:r>
    </w:p>
    <w:tbl>
      <w:tblPr>
        <w:tblStyle w:val="10"/>
        <w:tblW w:w="8845" w:type="dxa"/>
        <w:jc w:val="center"/>
        <w:tblInd w:w="0" w:type="dxa"/>
        <w:tblLayout w:type="fixed"/>
        <w:tblCellMar>
          <w:top w:w="0" w:type="dxa"/>
          <w:left w:w="108" w:type="dxa"/>
          <w:bottom w:w="0" w:type="dxa"/>
          <w:right w:w="108" w:type="dxa"/>
        </w:tblCellMar>
      </w:tblPr>
      <w:tblGrid>
        <w:gridCol w:w="3969"/>
        <w:gridCol w:w="907"/>
        <w:gridCol w:w="3969"/>
      </w:tblGrid>
      <w:tr>
        <w:tblPrEx>
          <w:tblLayout w:type="fixed"/>
          <w:tblCellMar>
            <w:top w:w="0" w:type="dxa"/>
            <w:left w:w="108" w:type="dxa"/>
            <w:bottom w:w="0" w:type="dxa"/>
            <w:right w:w="108" w:type="dxa"/>
          </w:tblCellMar>
        </w:tblPrEx>
        <w:trPr>
          <w:cantSplit/>
          <w:trHeight w:val="284" w:hRule="exact"/>
          <w:jc w:val="center"/>
        </w:trPr>
        <w:tc>
          <w:tcPr>
            <w:tcW w:w="3969" w:type="dxa"/>
            <w:tcBorders>
              <w:bottom w:val="single" w:color="FF0000" w:sz="36" w:space="0"/>
            </w:tcBorders>
          </w:tcPr>
          <w:p>
            <w:pPr>
              <w:pStyle w:val="3"/>
              <w:spacing w:line="600" w:lineRule="exact"/>
              <w:jc w:val="center"/>
              <w:rPr>
                <w:rFonts w:ascii="仿宋_GB2312" w:eastAsia="仿宋_GB2312"/>
                <w:sz w:val="32"/>
              </w:rPr>
            </w:pPr>
          </w:p>
        </w:tc>
        <w:tc>
          <w:tcPr>
            <w:tcW w:w="907" w:type="dxa"/>
            <w:vMerge w:val="restart"/>
            <w:tcBorders>
              <w:bottom w:val="single" w:color="auto" w:sz="24" w:space="0"/>
            </w:tcBorders>
            <w:vAlign w:val="center"/>
          </w:tcPr>
          <w:p>
            <w:pPr>
              <w:pStyle w:val="3"/>
              <w:spacing w:line="600" w:lineRule="exact"/>
              <w:jc w:val="center"/>
              <w:rPr>
                <w:rFonts w:ascii="仿宋_GB2312" w:eastAsia="仿宋_GB2312"/>
                <w:sz w:val="48"/>
              </w:rPr>
            </w:pPr>
            <w:r>
              <w:rPr>
                <w:rFonts w:hint="eastAsia" w:ascii="Times" w:hAnsi="Times"/>
                <w:sz w:val="48"/>
                <w:szCs w:val="22"/>
              </w:rPr>
              <w:t>★</w:t>
            </w:r>
          </w:p>
        </w:tc>
        <w:tc>
          <w:tcPr>
            <w:tcW w:w="3969" w:type="dxa"/>
            <w:tcBorders>
              <w:bottom w:val="single" w:color="FF0000" w:sz="36" w:space="0"/>
            </w:tcBorders>
          </w:tcPr>
          <w:p>
            <w:pPr>
              <w:pStyle w:val="3"/>
              <w:spacing w:line="600" w:lineRule="exact"/>
              <w:jc w:val="center"/>
              <w:rPr>
                <w:rFonts w:ascii="仿宋_GB2312" w:eastAsia="仿宋_GB2312"/>
                <w:sz w:val="32"/>
              </w:rPr>
            </w:pPr>
          </w:p>
        </w:tc>
      </w:tr>
      <w:tr>
        <w:tblPrEx>
          <w:tblLayout w:type="fixed"/>
          <w:tblCellMar>
            <w:top w:w="0" w:type="dxa"/>
            <w:left w:w="108" w:type="dxa"/>
            <w:bottom w:w="0" w:type="dxa"/>
            <w:right w:w="108" w:type="dxa"/>
          </w:tblCellMar>
        </w:tblPrEx>
        <w:trPr>
          <w:cantSplit/>
          <w:trHeight w:val="284" w:hRule="exact"/>
          <w:jc w:val="center"/>
        </w:trPr>
        <w:tc>
          <w:tcPr>
            <w:tcW w:w="3969" w:type="dxa"/>
            <w:tcBorders>
              <w:top w:val="single" w:color="FF0000" w:sz="36" w:space="0"/>
            </w:tcBorders>
          </w:tcPr>
          <w:p>
            <w:pPr>
              <w:pStyle w:val="3"/>
              <w:spacing w:line="600" w:lineRule="exact"/>
              <w:jc w:val="center"/>
              <w:rPr>
                <w:rFonts w:ascii="仿宋_GB2312" w:eastAsia="仿宋_GB2312"/>
                <w:sz w:val="32"/>
              </w:rPr>
            </w:pPr>
          </w:p>
        </w:tc>
        <w:tc>
          <w:tcPr>
            <w:tcW w:w="907" w:type="dxa"/>
            <w:vMerge w:val="continue"/>
            <w:tcBorders>
              <w:top w:val="single" w:color="auto" w:sz="24" w:space="0"/>
            </w:tcBorders>
          </w:tcPr>
          <w:p>
            <w:pPr>
              <w:pStyle w:val="3"/>
              <w:spacing w:line="600" w:lineRule="exact"/>
              <w:jc w:val="center"/>
              <w:rPr>
                <w:rFonts w:ascii="仿宋_GB2312" w:eastAsia="仿宋_GB2312"/>
                <w:sz w:val="32"/>
              </w:rPr>
            </w:pPr>
          </w:p>
        </w:tc>
        <w:tc>
          <w:tcPr>
            <w:tcW w:w="3969" w:type="dxa"/>
            <w:tcBorders>
              <w:top w:val="single" w:color="FF0000" w:sz="36" w:space="0"/>
            </w:tcBorders>
          </w:tcPr>
          <w:p>
            <w:pPr>
              <w:pStyle w:val="3"/>
              <w:spacing w:line="600" w:lineRule="exact"/>
              <w:jc w:val="center"/>
              <w:rPr>
                <w:rFonts w:ascii="仿宋_GB2312" w:eastAsia="仿宋_GB2312"/>
                <w:sz w:val="32"/>
              </w:rPr>
            </w:pPr>
          </w:p>
        </w:tc>
      </w:tr>
    </w:tbl>
    <w:p>
      <w:pPr>
        <w:spacing w:line="600" w:lineRule="exact"/>
        <w:ind w:firstLine="640" w:firstLineChars="200"/>
        <w:rPr>
          <w:rFonts w:ascii="创艺简标宋" w:eastAsia="创艺简标宋"/>
          <w:sz w:val="32"/>
          <w:szCs w:val="32"/>
        </w:rPr>
      </w:pPr>
    </w:p>
    <w:p>
      <w:pPr>
        <w:spacing w:line="600" w:lineRule="exact"/>
        <w:jc w:val="center"/>
        <w:rPr>
          <w:rFonts w:eastAsia="方正小标宋简体"/>
          <w:sz w:val="44"/>
          <w:szCs w:val="44"/>
        </w:rPr>
      </w:pPr>
      <w:r>
        <w:rPr>
          <w:rFonts w:hint="eastAsia" w:eastAsia="方正小标宋简体"/>
          <w:sz w:val="44"/>
          <w:szCs w:val="44"/>
        </w:rPr>
        <w:t>关于印发温州市高层次人才分类目录</w:t>
      </w:r>
    </w:p>
    <w:p>
      <w:pPr>
        <w:spacing w:line="600" w:lineRule="exact"/>
        <w:jc w:val="center"/>
        <w:rPr>
          <w:rFonts w:eastAsia="方正小标宋简体"/>
          <w:sz w:val="44"/>
          <w:szCs w:val="44"/>
        </w:rPr>
      </w:pPr>
      <w:r>
        <w:rPr>
          <w:rFonts w:hint="eastAsia" w:eastAsia="方正小标宋简体"/>
          <w:sz w:val="44"/>
          <w:szCs w:val="44"/>
        </w:rPr>
        <w:t>（</w:t>
      </w:r>
      <w:r>
        <w:rPr>
          <w:rFonts w:eastAsia="方正小标宋简体"/>
          <w:sz w:val="44"/>
          <w:szCs w:val="44"/>
        </w:rPr>
        <w:t>2017</w:t>
      </w:r>
      <w:r>
        <w:rPr>
          <w:rFonts w:hint="eastAsia" w:eastAsia="方正小标宋简体"/>
          <w:sz w:val="44"/>
          <w:szCs w:val="44"/>
        </w:rPr>
        <w:t>年）的通知</w:t>
      </w:r>
    </w:p>
    <w:p>
      <w:pPr>
        <w:spacing w:line="600" w:lineRule="exact"/>
        <w:rPr>
          <w:rFonts w:eastAsia="仿宋_GB2312"/>
          <w:sz w:val="32"/>
          <w:szCs w:val="32"/>
        </w:rPr>
      </w:pPr>
    </w:p>
    <w:p>
      <w:pPr>
        <w:spacing w:line="600" w:lineRule="exact"/>
        <w:rPr>
          <w:rFonts w:eastAsia="仿宋_GB2312"/>
          <w:sz w:val="32"/>
          <w:szCs w:val="32"/>
        </w:rPr>
      </w:pPr>
      <w:r>
        <w:rPr>
          <w:rFonts w:hint="eastAsia" w:eastAsia="仿宋_GB2312"/>
          <w:sz w:val="32"/>
          <w:szCs w:val="32"/>
        </w:rPr>
        <w:t>各有关单位：</w:t>
      </w:r>
    </w:p>
    <w:p>
      <w:pPr>
        <w:spacing w:line="600" w:lineRule="exact"/>
        <w:ind w:firstLine="640" w:firstLineChars="200"/>
        <w:rPr>
          <w:rFonts w:eastAsia="仿宋_GB2312"/>
          <w:sz w:val="32"/>
          <w:szCs w:val="32"/>
        </w:rPr>
      </w:pPr>
      <w:r>
        <w:rPr>
          <w:rFonts w:hint="eastAsia" w:eastAsia="仿宋_GB2312"/>
          <w:sz w:val="32"/>
          <w:szCs w:val="32"/>
        </w:rPr>
        <w:t>现将《温州市高层次人才分类目录》（</w:t>
      </w:r>
      <w:r>
        <w:rPr>
          <w:rFonts w:eastAsia="仿宋_GB2312"/>
          <w:sz w:val="32"/>
          <w:szCs w:val="32"/>
        </w:rPr>
        <w:t>2017</w:t>
      </w:r>
      <w:r>
        <w:rPr>
          <w:rFonts w:hint="eastAsia" w:eastAsia="仿宋_GB2312"/>
          <w:sz w:val="32"/>
          <w:szCs w:val="32"/>
        </w:rPr>
        <w:t>年）印发给你们，请认真遵照执行。</w:t>
      </w:r>
    </w:p>
    <w:p>
      <w:pPr>
        <w:spacing w:line="600" w:lineRule="exact"/>
        <w:ind w:firstLine="640" w:firstLineChars="200"/>
        <w:rPr>
          <w:rFonts w:eastAsia="仿宋_GB2312"/>
          <w:sz w:val="32"/>
          <w:szCs w:val="32"/>
        </w:rPr>
      </w:pPr>
    </w:p>
    <w:p>
      <w:pPr>
        <w:spacing w:line="600" w:lineRule="exact"/>
        <w:rPr>
          <w:rFonts w:eastAsia="仿宋_GB2312"/>
          <w:sz w:val="32"/>
          <w:szCs w:val="32"/>
        </w:rPr>
      </w:pPr>
    </w:p>
    <w:p>
      <w:pPr>
        <w:spacing w:line="600" w:lineRule="exact"/>
        <w:rPr>
          <w:rFonts w:eastAsia="仿宋_GB2312"/>
          <w:sz w:val="32"/>
          <w:szCs w:val="32"/>
        </w:rPr>
      </w:pPr>
    </w:p>
    <w:p>
      <w:pPr>
        <w:spacing w:line="600" w:lineRule="exact"/>
        <w:rPr>
          <w:rFonts w:eastAsia="仿宋_GB2312"/>
          <w:sz w:val="32"/>
          <w:szCs w:val="32"/>
        </w:rPr>
      </w:pPr>
    </w:p>
    <w:p>
      <w:pPr>
        <w:spacing w:line="600" w:lineRule="exact"/>
        <w:rPr>
          <w:rFonts w:eastAsia="仿宋_GB2312"/>
          <w:sz w:val="32"/>
          <w:szCs w:val="32"/>
        </w:rPr>
      </w:pPr>
    </w:p>
    <w:p>
      <w:pPr>
        <w:spacing w:line="600" w:lineRule="exact"/>
        <w:rPr>
          <w:rFonts w:eastAsia="仿宋_GB2312"/>
          <w:sz w:val="32"/>
          <w:szCs w:val="32"/>
        </w:rPr>
      </w:pPr>
    </w:p>
    <w:p>
      <w:pPr>
        <w:spacing w:line="600" w:lineRule="exact"/>
        <w:rPr>
          <w:rFonts w:eastAsia="仿宋_GB2312"/>
          <w:sz w:val="32"/>
          <w:szCs w:val="32"/>
        </w:rPr>
      </w:pPr>
      <w:r>
        <w:rPr>
          <w:rFonts w:hint="eastAsia" w:eastAsia="仿宋_GB2312"/>
          <w:spacing w:val="-20"/>
          <w:sz w:val="32"/>
          <w:szCs w:val="32"/>
        </w:rPr>
        <w:t>中共温州市委人才工作领导小组办公室</w:t>
      </w:r>
      <w:r>
        <w:rPr>
          <w:rFonts w:eastAsia="仿宋_GB2312"/>
          <w:spacing w:val="-20"/>
          <w:sz w:val="32"/>
          <w:szCs w:val="32"/>
        </w:rPr>
        <w:t xml:space="preserve">       </w:t>
      </w:r>
      <w:r>
        <w:rPr>
          <w:rFonts w:hint="eastAsia" w:eastAsia="仿宋_GB2312"/>
          <w:sz w:val="32"/>
          <w:szCs w:val="32"/>
        </w:rPr>
        <w:t>温</w:t>
      </w:r>
      <w:r>
        <w:rPr>
          <w:rFonts w:eastAsia="仿宋_GB2312"/>
          <w:sz w:val="32"/>
          <w:szCs w:val="32"/>
        </w:rPr>
        <w:t xml:space="preserve"> </w:t>
      </w:r>
      <w:r>
        <w:rPr>
          <w:rFonts w:hint="eastAsia" w:eastAsia="仿宋_GB2312"/>
          <w:sz w:val="32"/>
          <w:szCs w:val="32"/>
        </w:rPr>
        <w:t>州</w:t>
      </w:r>
      <w:r>
        <w:rPr>
          <w:rFonts w:eastAsia="仿宋_GB2312"/>
          <w:sz w:val="32"/>
          <w:szCs w:val="32"/>
        </w:rPr>
        <w:t xml:space="preserve"> </w:t>
      </w:r>
      <w:r>
        <w:rPr>
          <w:rFonts w:hint="eastAsia" w:eastAsia="仿宋_GB2312"/>
          <w:sz w:val="32"/>
          <w:szCs w:val="32"/>
        </w:rPr>
        <w:t>市</w:t>
      </w:r>
      <w:r>
        <w:rPr>
          <w:rFonts w:eastAsia="仿宋_GB2312"/>
          <w:sz w:val="32"/>
          <w:szCs w:val="32"/>
        </w:rPr>
        <w:t xml:space="preserve"> </w:t>
      </w:r>
      <w:r>
        <w:rPr>
          <w:rFonts w:hint="eastAsia" w:eastAsia="仿宋_GB2312"/>
          <w:sz w:val="32"/>
          <w:szCs w:val="32"/>
        </w:rPr>
        <w:t>教</w:t>
      </w:r>
      <w:r>
        <w:rPr>
          <w:rFonts w:eastAsia="仿宋_GB2312"/>
          <w:sz w:val="32"/>
          <w:szCs w:val="32"/>
        </w:rPr>
        <w:t xml:space="preserve"> </w:t>
      </w:r>
      <w:r>
        <w:rPr>
          <w:rFonts w:hint="eastAsia" w:eastAsia="仿宋_GB2312"/>
          <w:sz w:val="32"/>
          <w:szCs w:val="32"/>
        </w:rPr>
        <w:t>育</w:t>
      </w:r>
      <w:r>
        <w:rPr>
          <w:rFonts w:eastAsia="仿宋_GB2312"/>
          <w:sz w:val="32"/>
          <w:szCs w:val="32"/>
        </w:rPr>
        <w:t xml:space="preserve"> </w:t>
      </w:r>
      <w:r>
        <w:rPr>
          <w:rFonts w:hint="eastAsia" w:eastAsia="仿宋_GB2312"/>
          <w:sz w:val="32"/>
          <w:szCs w:val="32"/>
        </w:rPr>
        <w:t>局</w:t>
      </w:r>
    </w:p>
    <w:p>
      <w:pPr>
        <w:spacing w:line="600" w:lineRule="exact"/>
        <w:rPr>
          <w:rFonts w:eastAsia="仿宋_GB2312"/>
          <w:sz w:val="32"/>
          <w:szCs w:val="32"/>
        </w:rPr>
      </w:pPr>
    </w:p>
    <w:p>
      <w:pPr>
        <w:spacing w:line="600" w:lineRule="exact"/>
        <w:rPr>
          <w:rFonts w:eastAsia="仿宋_GB2312"/>
          <w:sz w:val="32"/>
          <w:szCs w:val="32"/>
        </w:rPr>
      </w:pPr>
    </w:p>
    <w:p>
      <w:pPr>
        <w:spacing w:line="600" w:lineRule="exact"/>
        <w:rPr>
          <w:rFonts w:eastAsia="仿宋_GB2312"/>
          <w:sz w:val="32"/>
          <w:szCs w:val="32"/>
        </w:rPr>
      </w:pPr>
    </w:p>
    <w:p>
      <w:pPr>
        <w:spacing w:line="600" w:lineRule="exact"/>
        <w:ind w:firstLine="480" w:firstLineChars="150"/>
        <w:rPr>
          <w:rFonts w:eastAsia="仿宋_GB2312"/>
          <w:sz w:val="32"/>
          <w:szCs w:val="32"/>
        </w:rPr>
      </w:pPr>
      <w:r>
        <w:rPr>
          <w:rFonts w:hint="eastAsia" w:eastAsia="仿宋_GB2312"/>
          <w:sz w:val="32"/>
          <w:szCs w:val="32"/>
        </w:rPr>
        <w:t>温</w:t>
      </w:r>
      <w:r>
        <w:rPr>
          <w:rFonts w:eastAsia="仿宋_GB2312"/>
          <w:sz w:val="32"/>
          <w:szCs w:val="32"/>
        </w:rPr>
        <w:t xml:space="preserve"> </w:t>
      </w:r>
      <w:r>
        <w:rPr>
          <w:rFonts w:hint="eastAsia" w:eastAsia="仿宋_GB2312"/>
          <w:sz w:val="32"/>
          <w:szCs w:val="32"/>
        </w:rPr>
        <w:t>州</w:t>
      </w:r>
      <w:r>
        <w:rPr>
          <w:rFonts w:eastAsia="仿宋_GB2312"/>
          <w:sz w:val="32"/>
          <w:szCs w:val="32"/>
        </w:rPr>
        <w:t xml:space="preserve"> </w:t>
      </w:r>
      <w:r>
        <w:rPr>
          <w:rFonts w:hint="eastAsia" w:eastAsia="仿宋_GB2312"/>
          <w:sz w:val="32"/>
          <w:szCs w:val="32"/>
        </w:rPr>
        <w:t>市</w:t>
      </w:r>
      <w:r>
        <w:rPr>
          <w:rFonts w:eastAsia="仿宋_GB2312"/>
          <w:sz w:val="32"/>
          <w:szCs w:val="32"/>
        </w:rPr>
        <w:t xml:space="preserve"> </w:t>
      </w:r>
      <w:r>
        <w:rPr>
          <w:rFonts w:hint="eastAsia" w:eastAsia="仿宋_GB2312"/>
          <w:sz w:val="32"/>
          <w:szCs w:val="32"/>
        </w:rPr>
        <w:t>科</w:t>
      </w:r>
      <w:r>
        <w:rPr>
          <w:rFonts w:eastAsia="仿宋_GB2312"/>
          <w:sz w:val="32"/>
          <w:szCs w:val="32"/>
        </w:rPr>
        <w:t xml:space="preserve"> </w:t>
      </w:r>
      <w:r>
        <w:rPr>
          <w:rFonts w:hint="eastAsia" w:eastAsia="仿宋_GB2312"/>
          <w:sz w:val="32"/>
          <w:szCs w:val="32"/>
        </w:rPr>
        <w:t>学</w:t>
      </w:r>
      <w:r>
        <w:rPr>
          <w:rFonts w:eastAsia="仿宋_GB2312"/>
          <w:sz w:val="32"/>
          <w:szCs w:val="32"/>
        </w:rPr>
        <w:t xml:space="preserve"> </w:t>
      </w:r>
      <w:r>
        <w:rPr>
          <w:rFonts w:hint="eastAsia" w:eastAsia="仿宋_GB2312"/>
          <w:sz w:val="32"/>
          <w:szCs w:val="32"/>
        </w:rPr>
        <w:t>技</w:t>
      </w:r>
      <w:r>
        <w:rPr>
          <w:rFonts w:eastAsia="仿宋_GB2312"/>
          <w:sz w:val="32"/>
          <w:szCs w:val="32"/>
        </w:rPr>
        <w:t xml:space="preserve"> </w:t>
      </w:r>
      <w:r>
        <w:rPr>
          <w:rFonts w:hint="eastAsia" w:eastAsia="仿宋_GB2312"/>
          <w:sz w:val="32"/>
          <w:szCs w:val="32"/>
        </w:rPr>
        <w:t>术</w:t>
      </w:r>
      <w:r>
        <w:rPr>
          <w:rFonts w:eastAsia="仿宋_GB2312"/>
          <w:sz w:val="32"/>
          <w:szCs w:val="32"/>
        </w:rPr>
        <w:t xml:space="preserve"> </w:t>
      </w:r>
      <w:r>
        <w:rPr>
          <w:rFonts w:hint="eastAsia" w:eastAsia="仿宋_GB2312"/>
          <w:sz w:val="32"/>
          <w:szCs w:val="32"/>
        </w:rPr>
        <w:t>局</w:t>
      </w:r>
      <w:r>
        <w:rPr>
          <w:rFonts w:eastAsia="仿宋_GB2312"/>
          <w:sz w:val="32"/>
          <w:szCs w:val="32"/>
        </w:rPr>
        <w:t xml:space="preserve">         </w:t>
      </w:r>
      <w:r>
        <w:rPr>
          <w:rFonts w:hint="eastAsia" w:eastAsia="仿宋_GB2312"/>
          <w:sz w:val="32"/>
          <w:szCs w:val="32"/>
        </w:rPr>
        <w:t>温</w:t>
      </w:r>
      <w:r>
        <w:rPr>
          <w:rFonts w:eastAsia="仿宋_GB2312"/>
          <w:sz w:val="32"/>
          <w:szCs w:val="32"/>
        </w:rPr>
        <w:t xml:space="preserve"> </w:t>
      </w:r>
      <w:r>
        <w:rPr>
          <w:rFonts w:hint="eastAsia" w:eastAsia="仿宋_GB2312"/>
          <w:sz w:val="32"/>
          <w:szCs w:val="32"/>
        </w:rPr>
        <w:t>州</w:t>
      </w:r>
      <w:r>
        <w:rPr>
          <w:rFonts w:eastAsia="仿宋_GB2312"/>
          <w:sz w:val="32"/>
          <w:szCs w:val="32"/>
        </w:rPr>
        <w:t xml:space="preserve"> </w:t>
      </w:r>
      <w:r>
        <w:rPr>
          <w:rFonts w:hint="eastAsia" w:eastAsia="仿宋_GB2312"/>
          <w:sz w:val="32"/>
          <w:szCs w:val="32"/>
        </w:rPr>
        <w:t>市</w:t>
      </w:r>
      <w:r>
        <w:rPr>
          <w:rFonts w:eastAsia="仿宋_GB2312"/>
          <w:sz w:val="32"/>
          <w:szCs w:val="32"/>
        </w:rPr>
        <w:t xml:space="preserve"> </w:t>
      </w:r>
      <w:r>
        <w:rPr>
          <w:rFonts w:hint="eastAsia" w:eastAsia="仿宋_GB2312"/>
          <w:sz w:val="32"/>
          <w:szCs w:val="32"/>
        </w:rPr>
        <w:t>财</w:t>
      </w:r>
      <w:r>
        <w:rPr>
          <w:rFonts w:eastAsia="仿宋_GB2312"/>
          <w:sz w:val="32"/>
          <w:szCs w:val="32"/>
        </w:rPr>
        <w:t xml:space="preserve"> </w:t>
      </w:r>
      <w:r>
        <w:rPr>
          <w:rFonts w:hint="eastAsia" w:eastAsia="仿宋_GB2312"/>
          <w:sz w:val="32"/>
          <w:szCs w:val="32"/>
        </w:rPr>
        <w:t>政</w:t>
      </w:r>
      <w:r>
        <w:rPr>
          <w:rFonts w:eastAsia="仿宋_GB2312"/>
          <w:sz w:val="32"/>
          <w:szCs w:val="32"/>
        </w:rPr>
        <w:t xml:space="preserve"> </w:t>
      </w:r>
      <w:r>
        <w:rPr>
          <w:rFonts w:hint="eastAsia" w:eastAsia="仿宋_GB2312"/>
          <w:sz w:val="32"/>
          <w:szCs w:val="32"/>
        </w:rPr>
        <w:t>局</w:t>
      </w:r>
    </w:p>
    <w:p>
      <w:pPr>
        <w:spacing w:line="600" w:lineRule="exact"/>
        <w:rPr>
          <w:rFonts w:eastAsia="仿宋_GB2312"/>
          <w:sz w:val="32"/>
          <w:szCs w:val="32"/>
        </w:rPr>
      </w:pPr>
    </w:p>
    <w:p>
      <w:pPr>
        <w:spacing w:line="600" w:lineRule="exact"/>
        <w:rPr>
          <w:rFonts w:eastAsia="仿宋_GB2312"/>
          <w:sz w:val="32"/>
          <w:szCs w:val="32"/>
        </w:rPr>
      </w:pPr>
    </w:p>
    <w:p>
      <w:pPr>
        <w:spacing w:line="600" w:lineRule="exact"/>
        <w:rPr>
          <w:rFonts w:eastAsia="仿宋_GB2312"/>
          <w:sz w:val="32"/>
          <w:szCs w:val="32"/>
        </w:rPr>
      </w:pPr>
    </w:p>
    <w:p>
      <w:pPr>
        <w:spacing w:line="600" w:lineRule="exact"/>
        <w:ind w:firstLine="420" w:firstLineChars="150"/>
        <w:rPr>
          <w:rFonts w:eastAsia="仿宋_GB2312"/>
          <w:spacing w:val="-20"/>
          <w:sz w:val="32"/>
          <w:szCs w:val="32"/>
        </w:rPr>
      </w:pPr>
      <w:r>
        <w:rPr>
          <w:rFonts w:hint="eastAsia" w:eastAsia="仿宋_GB2312"/>
          <w:spacing w:val="-20"/>
          <w:sz w:val="32"/>
          <w:szCs w:val="32"/>
        </w:rPr>
        <w:t>温州市人力资源和社会保障局</w:t>
      </w:r>
      <w:r>
        <w:rPr>
          <w:rFonts w:eastAsia="仿宋_GB2312"/>
          <w:spacing w:val="-20"/>
          <w:sz w:val="32"/>
          <w:szCs w:val="32"/>
        </w:rPr>
        <w:t xml:space="preserve">      </w:t>
      </w:r>
      <w:r>
        <w:rPr>
          <w:rFonts w:hint="eastAsia" w:eastAsia="仿宋_GB2312"/>
          <w:spacing w:val="-20"/>
          <w:sz w:val="32"/>
          <w:szCs w:val="32"/>
        </w:rPr>
        <w:t>温州市住房和城乡建设委员会</w:t>
      </w:r>
    </w:p>
    <w:p>
      <w:pPr>
        <w:spacing w:line="600" w:lineRule="exact"/>
        <w:rPr>
          <w:rFonts w:eastAsia="仿宋_GB2312"/>
          <w:sz w:val="32"/>
          <w:szCs w:val="32"/>
        </w:rPr>
      </w:pPr>
    </w:p>
    <w:p>
      <w:pPr>
        <w:spacing w:line="600" w:lineRule="exact"/>
        <w:ind w:firstLine="5760" w:firstLineChars="1800"/>
        <w:rPr>
          <w:rFonts w:eastAsia="仿宋_GB2312"/>
          <w:sz w:val="32"/>
          <w:szCs w:val="32"/>
        </w:rPr>
      </w:pPr>
      <w:r>
        <w:rPr>
          <w:rFonts w:eastAsia="仿宋_GB2312"/>
          <w:sz w:val="32"/>
          <w:szCs w:val="32"/>
        </w:rPr>
        <w:t>2017</w:t>
      </w:r>
      <w:r>
        <w:rPr>
          <w:rFonts w:hint="eastAsia" w:eastAsia="仿宋_GB2312"/>
          <w:sz w:val="32"/>
          <w:szCs w:val="32"/>
        </w:rPr>
        <w:t>年</w:t>
      </w:r>
      <w:r>
        <w:rPr>
          <w:rFonts w:eastAsia="仿宋_GB2312"/>
          <w:sz w:val="32"/>
          <w:szCs w:val="32"/>
        </w:rPr>
        <w:t>5</w:t>
      </w:r>
      <w:r>
        <w:rPr>
          <w:rFonts w:hint="eastAsia" w:eastAsia="仿宋_GB2312"/>
          <w:sz w:val="32"/>
          <w:szCs w:val="32"/>
        </w:rPr>
        <w:t>月</w:t>
      </w:r>
      <w:r>
        <w:rPr>
          <w:rFonts w:eastAsia="仿宋_GB2312"/>
          <w:sz w:val="32"/>
          <w:szCs w:val="32"/>
        </w:rPr>
        <w:t>4</w:t>
      </w:r>
      <w:r>
        <w:rPr>
          <w:rFonts w:hint="eastAsia" w:eastAsia="仿宋_GB2312"/>
          <w:sz w:val="32"/>
          <w:szCs w:val="32"/>
        </w:rPr>
        <w:t>日</w:t>
      </w:r>
      <w:r>
        <w:rPr>
          <w:rFonts w:eastAsia="仿宋_GB2312"/>
          <w:sz w:val="32"/>
          <w:szCs w:val="32"/>
        </w:rPr>
        <w:t xml:space="preserve">  </w:t>
      </w:r>
    </w:p>
    <w:p>
      <w:pPr>
        <w:spacing w:line="600" w:lineRule="exact"/>
        <w:ind w:firstLine="5760" w:firstLineChars="1800"/>
        <w:rPr>
          <w:rFonts w:eastAsia="仿宋_GB2312"/>
          <w:sz w:val="32"/>
          <w:szCs w:val="32"/>
        </w:rPr>
      </w:pPr>
    </w:p>
    <w:p>
      <w:pPr>
        <w:spacing w:line="600" w:lineRule="exact"/>
        <w:ind w:firstLine="5760" w:firstLineChars="1800"/>
        <w:rPr>
          <w:rFonts w:eastAsia="仿宋_GB2312"/>
          <w:sz w:val="32"/>
          <w:szCs w:val="32"/>
        </w:rPr>
      </w:pPr>
    </w:p>
    <w:p>
      <w:pPr>
        <w:spacing w:line="600" w:lineRule="exact"/>
        <w:ind w:firstLine="5760" w:firstLineChars="1800"/>
        <w:rPr>
          <w:rFonts w:eastAsia="仿宋_GB2312"/>
          <w:sz w:val="32"/>
          <w:szCs w:val="32"/>
        </w:rPr>
      </w:pPr>
    </w:p>
    <w:p>
      <w:pPr>
        <w:spacing w:line="600" w:lineRule="exact"/>
        <w:ind w:firstLine="5760" w:firstLineChars="1800"/>
        <w:rPr>
          <w:rFonts w:eastAsia="仿宋_GB2312"/>
          <w:sz w:val="32"/>
          <w:szCs w:val="32"/>
        </w:rPr>
      </w:pPr>
    </w:p>
    <w:p>
      <w:pPr>
        <w:spacing w:line="600" w:lineRule="exact"/>
        <w:ind w:firstLine="5760" w:firstLineChars="1800"/>
        <w:rPr>
          <w:rFonts w:eastAsia="仿宋_GB2312"/>
          <w:sz w:val="32"/>
          <w:szCs w:val="32"/>
        </w:rPr>
      </w:pPr>
    </w:p>
    <w:p>
      <w:pPr>
        <w:spacing w:line="600" w:lineRule="exact"/>
        <w:ind w:firstLine="5760" w:firstLineChars="1800"/>
        <w:rPr>
          <w:rFonts w:eastAsia="仿宋_GB2312"/>
          <w:sz w:val="32"/>
          <w:szCs w:val="32"/>
        </w:rPr>
      </w:pPr>
    </w:p>
    <w:p>
      <w:pPr>
        <w:spacing w:line="600" w:lineRule="exact"/>
        <w:ind w:firstLine="5760" w:firstLineChars="1800"/>
        <w:rPr>
          <w:rFonts w:eastAsia="仿宋_GB2312"/>
          <w:sz w:val="32"/>
          <w:szCs w:val="32"/>
        </w:rPr>
      </w:pPr>
    </w:p>
    <w:p>
      <w:pPr>
        <w:spacing w:line="600" w:lineRule="exact"/>
        <w:jc w:val="left"/>
        <w:rPr>
          <w:rFonts w:eastAsia="仿宋_GB2312"/>
          <w:sz w:val="28"/>
          <w:szCs w:val="28"/>
        </w:rPr>
      </w:pPr>
      <w:r>
        <w:rPr>
          <w:rFonts w:eastAsia="仿宋_GB2312"/>
          <w:sz w:val="28"/>
          <w:szCs w:val="28"/>
        </w:rPr>
        <w:t xml:space="preserve">                                                                </w:t>
      </w:r>
    </w:p>
    <w:p>
      <w:pPr>
        <w:spacing w:line="600" w:lineRule="exact"/>
        <w:rPr>
          <w:spacing w:val="-8"/>
          <w:sz w:val="32"/>
          <w:szCs w:val="32"/>
        </w:rPr>
      </w:pPr>
      <w:r>
        <w:rPr>
          <w:rFonts w:eastAsia="仿宋_GB2312"/>
          <w:spacing w:val="-8"/>
          <w:sz w:val="28"/>
          <w:szCs w:val="28"/>
        </w:rPr>
        <w:t xml:space="preserve"> </w:t>
      </w:r>
      <w:r>
        <w:rPr>
          <w:rFonts w:hint="eastAsia" w:eastAsia="仿宋_GB2312"/>
          <w:spacing w:val="-8"/>
          <w:sz w:val="32"/>
          <w:szCs w:val="32"/>
        </w:rPr>
        <w:t>中共温州市委人才工作领导小组办公室</w:t>
      </w:r>
      <w:r>
        <w:rPr>
          <w:rFonts w:eastAsia="仿宋_GB2312"/>
          <w:spacing w:val="-8"/>
          <w:sz w:val="32"/>
          <w:szCs w:val="32"/>
        </w:rPr>
        <w:t xml:space="preserve">   2017</w:t>
      </w:r>
      <w:r>
        <w:rPr>
          <w:rFonts w:hint="eastAsia" w:eastAsia="仿宋_GB2312"/>
          <w:spacing w:val="-8"/>
          <w:sz w:val="32"/>
          <w:szCs w:val="32"/>
        </w:rPr>
        <w:t>年</w:t>
      </w:r>
      <w:r>
        <w:rPr>
          <w:rFonts w:eastAsia="仿宋_GB2312"/>
          <w:spacing w:val="-8"/>
          <w:sz w:val="32"/>
          <w:szCs w:val="32"/>
        </w:rPr>
        <w:t>5</w:t>
      </w:r>
      <w:r>
        <w:rPr>
          <w:rFonts w:hint="eastAsia" w:eastAsia="仿宋_GB2312"/>
          <w:spacing w:val="-8"/>
          <w:sz w:val="32"/>
          <w:szCs w:val="32"/>
        </w:rPr>
        <w:t>月</w:t>
      </w:r>
      <w:r>
        <w:rPr>
          <w:rFonts w:eastAsia="仿宋_GB2312"/>
          <w:spacing w:val="-8"/>
          <w:sz w:val="32"/>
          <w:szCs w:val="32"/>
        </w:rPr>
        <w:t>4</w:t>
      </w:r>
      <w:r>
        <w:rPr>
          <w:rFonts w:hint="eastAsia" w:eastAsia="仿宋_GB2312"/>
          <w:spacing w:val="-8"/>
          <w:sz w:val="32"/>
          <w:szCs w:val="32"/>
        </w:rPr>
        <w:t>日印发</w:t>
      </w:r>
      <w:r>
        <w:rPr>
          <w:rFonts w:eastAsia="仿宋_GB2312"/>
          <w:spacing w:val="-8"/>
          <w:sz w:val="32"/>
          <w:szCs w:val="32"/>
        </w:rPr>
        <w:t xml:space="preserve">  </w:t>
      </w:r>
    </w:p>
    <w:p>
      <w:pPr>
        <w:spacing w:line="600" w:lineRule="exact"/>
        <w:ind w:firstLine="640" w:firstLineChars="200"/>
        <w:rPr>
          <w:rFonts w:ascii="方正小标宋简体" w:eastAsia="方正小标宋简体"/>
          <w:sz w:val="32"/>
          <w:szCs w:val="32"/>
        </w:rPr>
      </w:pPr>
      <w:r>
        <w:rPr>
          <w:rFonts w:ascii="方正小标宋简体" w:eastAsia="方正小标宋简体"/>
          <w:sz w:val="32"/>
          <w:szCs w:val="32"/>
        </w:rPr>
        <w:br w:type="page"/>
      </w:r>
    </w:p>
    <w:p>
      <w:pPr>
        <w:spacing w:line="600" w:lineRule="exact"/>
        <w:jc w:val="center"/>
        <w:rPr>
          <w:rFonts w:ascii="方正小标宋简体" w:eastAsia="方正小标宋简体"/>
          <w:sz w:val="44"/>
          <w:szCs w:val="44"/>
        </w:rPr>
      </w:pPr>
      <w:r>
        <w:rPr>
          <w:rFonts w:hint="eastAsia" w:ascii="方正小标宋简体" w:eastAsia="方正小标宋简体"/>
          <w:sz w:val="44"/>
          <w:szCs w:val="44"/>
        </w:rPr>
        <w:t>温州市高层次人才分类目录</w:t>
      </w:r>
    </w:p>
    <w:p>
      <w:pPr>
        <w:spacing w:line="600" w:lineRule="exact"/>
        <w:jc w:val="center"/>
        <w:rPr>
          <w:rFonts w:eastAsia="楷体_GB2312"/>
          <w:sz w:val="32"/>
          <w:szCs w:val="32"/>
        </w:rPr>
      </w:pPr>
      <w:r>
        <w:rPr>
          <w:rFonts w:hint="eastAsia" w:eastAsia="楷体_GB2312"/>
          <w:sz w:val="32"/>
          <w:szCs w:val="32"/>
        </w:rPr>
        <w:t>（</w:t>
      </w:r>
      <w:r>
        <w:rPr>
          <w:rFonts w:eastAsia="楷体_GB2312"/>
          <w:sz w:val="32"/>
          <w:szCs w:val="32"/>
        </w:rPr>
        <w:t>2017</w:t>
      </w:r>
      <w:r>
        <w:rPr>
          <w:rFonts w:hint="eastAsia" w:eastAsia="楷体_GB2312"/>
          <w:sz w:val="32"/>
          <w:szCs w:val="32"/>
        </w:rPr>
        <w:t>年）</w:t>
      </w:r>
    </w:p>
    <w:p>
      <w:pPr>
        <w:spacing w:line="600" w:lineRule="exact"/>
        <w:ind w:firstLine="640" w:firstLineChars="200"/>
        <w:rPr>
          <w:rFonts w:ascii="楷体_GB2312" w:eastAsia="楷体_GB2312"/>
          <w:sz w:val="32"/>
          <w:szCs w:val="32"/>
        </w:rPr>
      </w:pPr>
    </w:p>
    <w:p>
      <w:pPr>
        <w:spacing w:line="600" w:lineRule="exact"/>
        <w:ind w:firstLine="640" w:firstLineChars="200"/>
        <w:rPr>
          <w:rFonts w:eastAsia="仿宋_GB2312"/>
          <w:sz w:val="32"/>
          <w:szCs w:val="32"/>
        </w:rPr>
      </w:pPr>
      <w:r>
        <w:rPr>
          <w:rFonts w:hint="eastAsia" w:eastAsia="仿宋_GB2312"/>
          <w:sz w:val="32"/>
          <w:szCs w:val="32"/>
        </w:rPr>
        <w:t>依据国家相关文件规定，参考国内其他城市对人才的分类标准，结合我市实际，我市高层次人才分为</w:t>
      </w:r>
      <w:r>
        <w:rPr>
          <w:rFonts w:eastAsia="仿宋_GB2312"/>
          <w:sz w:val="32"/>
          <w:szCs w:val="32"/>
        </w:rPr>
        <w:t>5</w:t>
      </w:r>
      <w:r>
        <w:rPr>
          <w:rFonts w:hint="eastAsia" w:eastAsia="仿宋_GB2312"/>
          <w:sz w:val="32"/>
          <w:szCs w:val="32"/>
        </w:rPr>
        <w:t>个层次，分别是：国内外顶尖人才、国家级领军人才、省级领军人才、市级领军人才、高级人才（分别用</w:t>
      </w:r>
      <w:r>
        <w:rPr>
          <w:rFonts w:eastAsia="仿宋_GB2312"/>
          <w:sz w:val="32"/>
          <w:szCs w:val="32"/>
        </w:rPr>
        <w:t>A</w:t>
      </w:r>
      <w:r>
        <w:rPr>
          <w:rFonts w:hint="eastAsia" w:eastAsia="仿宋_GB2312"/>
          <w:sz w:val="32"/>
          <w:szCs w:val="32"/>
        </w:rPr>
        <w:t>、</w:t>
      </w:r>
      <w:r>
        <w:rPr>
          <w:rFonts w:eastAsia="仿宋_GB2312"/>
          <w:sz w:val="32"/>
          <w:szCs w:val="32"/>
        </w:rPr>
        <w:t>B</w:t>
      </w:r>
      <w:r>
        <w:rPr>
          <w:rFonts w:hint="eastAsia" w:eastAsia="仿宋_GB2312"/>
          <w:sz w:val="32"/>
          <w:szCs w:val="32"/>
        </w:rPr>
        <w:t>、</w:t>
      </w:r>
      <w:r>
        <w:rPr>
          <w:rFonts w:eastAsia="仿宋_GB2312"/>
          <w:sz w:val="32"/>
          <w:szCs w:val="32"/>
        </w:rPr>
        <w:t>C</w:t>
      </w:r>
      <w:r>
        <w:rPr>
          <w:rFonts w:hint="eastAsia" w:eastAsia="仿宋_GB2312"/>
          <w:sz w:val="32"/>
          <w:szCs w:val="32"/>
        </w:rPr>
        <w:t>、</w:t>
      </w:r>
      <w:r>
        <w:rPr>
          <w:rFonts w:eastAsia="仿宋_GB2312"/>
          <w:sz w:val="32"/>
          <w:szCs w:val="32"/>
        </w:rPr>
        <w:t>D</w:t>
      </w:r>
      <w:r>
        <w:rPr>
          <w:rFonts w:hint="eastAsia" w:eastAsia="仿宋_GB2312"/>
          <w:sz w:val="32"/>
          <w:szCs w:val="32"/>
        </w:rPr>
        <w:t>、</w:t>
      </w:r>
      <w:r>
        <w:rPr>
          <w:rFonts w:eastAsia="仿宋_GB2312"/>
          <w:sz w:val="32"/>
          <w:szCs w:val="32"/>
        </w:rPr>
        <w:t>E</w:t>
      </w:r>
      <w:r>
        <w:rPr>
          <w:rFonts w:hint="eastAsia" w:eastAsia="仿宋_GB2312"/>
          <w:sz w:val="32"/>
          <w:szCs w:val="32"/>
        </w:rPr>
        <w:t>来指代）。</w:t>
      </w:r>
    </w:p>
    <w:p>
      <w:pPr>
        <w:spacing w:line="600" w:lineRule="exact"/>
        <w:ind w:firstLine="640" w:firstLineChars="200"/>
        <w:rPr>
          <w:rFonts w:cs="宋体"/>
          <w:sz w:val="32"/>
          <w:szCs w:val="32"/>
        </w:rPr>
      </w:pPr>
      <w:r>
        <w:rPr>
          <w:rFonts w:eastAsia="仿宋_GB2312"/>
          <w:sz w:val="32"/>
          <w:szCs w:val="32"/>
        </w:rPr>
        <w:t>A</w:t>
      </w:r>
      <w:r>
        <w:rPr>
          <w:rFonts w:hint="eastAsia" w:eastAsia="仿宋_GB2312"/>
          <w:sz w:val="32"/>
          <w:szCs w:val="32"/>
        </w:rPr>
        <w:t>类：国内外顶尖人才。主要包括：诺贝尔奖、图灵奖、菲尔茨奖等国际大奖的获得者；国家最高科技奖获得者；中国科学院、中国工程院院士；美国等发达国家科学院院士或工程院院士；中国社会科学院学部委员、荣誉学部委员；国家“万人计划”杰出人才人选；相当于上述层次的顶尖人才。</w:t>
      </w:r>
    </w:p>
    <w:p>
      <w:pPr>
        <w:spacing w:line="600" w:lineRule="exact"/>
        <w:ind w:firstLine="640" w:firstLineChars="200"/>
        <w:rPr>
          <w:rFonts w:eastAsia="仿宋_GB2312"/>
          <w:sz w:val="32"/>
          <w:szCs w:val="32"/>
        </w:rPr>
      </w:pPr>
      <w:r>
        <w:rPr>
          <w:rFonts w:eastAsia="仿宋_GB2312"/>
          <w:sz w:val="32"/>
          <w:szCs w:val="32"/>
        </w:rPr>
        <w:t>B</w:t>
      </w:r>
      <w:r>
        <w:rPr>
          <w:rFonts w:hint="eastAsia" w:eastAsia="仿宋_GB2312"/>
          <w:sz w:val="32"/>
          <w:szCs w:val="32"/>
        </w:rPr>
        <w:t>类：国家级领军人才。主要包括：</w:t>
      </w:r>
      <w:r>
        <w:rPr>
          <w:rFonts w:hint="eastAsia" w:eastAsia="仿宋_GB2312" w:cs="宋体"/>
          <w:sz w:val="32"/>
          <w:szCs w:val="32"/>
        </w:rPr>
        <w:t>国家“千人计划”人选；国家“万人计划”领军人才、青年拔尖人才人选；“长江学者奖励计划”入选者；“百千万人才工程”国家级人选，国家杰出青年基金获得者</w:t>
      </w:r>
      <w:r>
        <w:rPr>
          <w:rFonts w:hint="eastAsia" w:eastAsia="仿宋_GB2312"/>
          <w:sz w:val="32"/>
          <w:szCs w:val="32"/>
        </w:rPr>
        <w:t>；全国宣传文化系统“四个一批”人才；中国工艺美术大师；中华技能大奖获得者；相当于上述层次的领军人才。</w:t>
      </w:r>
      <w:r>
        <w:rPr>
          <w:rFonts w:eastAsia="仿宋_GB2312"/>
          <w:sz w:val="32"/>
          <w:szCs w:val="32"/>
        </w:rPr>
        <w:t xml:space="preserve"> </w:t>
      </w:r>
    </w:p>
    <w:p>
      <w:pPr>
        <w:spacing w:line="600" w:lineRule="exact"/>
        <w:ind w:firstLine="640" w:firstLineChars="200"/>
        <w:rPr>
          <w:rFonts w:eastAsia="仿宋_GB2312"/>
          <w:sz w:val="32"/>
          <w:szCs w:val="32"/>
        </w:rPr>
      </w:pPr>
      <w:r>
        <w:rPr>
          <w:rFonts w:eastAsia="仿宋_GB2312"/>
          <w:sz w:val="32"/>
          <w:szCs w:val="32"/>
        </w:rPr>
        <w:t>C</w:t>
      </w:r>
      <w:r>
        <w:rPr>
          <w:rFonts w:hint="eastAsia" w:eastAsia="仿宋_GB2312"/>
          <w:sz w:val="32"/>
          <w:szCs w:val="32"/>
        </w:rPr>
        <w:t>类：省级领军人才。主要包括：</w:t>
      </w:r>
      <w:r>
        <w:rPr>
          <w:rFonts w:hint="eastAsia" w:eastAsia="仿宋_GB2312" w:cs="宋体"/>
          <w:sz w:val="32"/>
          <w:szCs w:val="32"/>
        </w:rPr>
        <w:t>省科学技术重大贡献奖获得者；省特级专家；省“千人计划”入选者；</w:t>
      </w:r>
      <w:r>
        <w:rPr>
          <w:rFonts w:hint="eastAsia" w:eastAsia="仿宋_GB2312"/>
          <w:sz w:val="32"/>
          <w:szCs w:val="32"/>
        </w:rPr>
        <w:t>省“特支”计划（省“万人计划”）人才；省领军型创新创业团队带头人；省“</w:t>
      </w:r>
      <w:r>
        <w:rPr>
          <w:rFonts w:eastAsia="仿宋_GB2312"/>
          <w:sz w:val="32"/>
          <w:szCs w:val="32"/>
        </w:rPr>
        <w:t>151</w:t>
      </w:r>
      <w:r>
        <w:rPr>
          <w:rFonts w:hint="eastAsia" w:eastAsia="仿宋_GB2312"/>
          <w:sz w:val="32"/>
          <w:szCs w:val="32"/>
        </w:rPr>
        <w:t>人才工程”重点资助培养人员；省特级教师；相当于上述层次的领军人才。</w:t>
      </w:r>
      <w:r>
        <w:rPr>
          <w:rFonts w:eastAsia="仿宋_GB2312"/>
          <w:sz w:val="32"/>
          <w:szCs w:val="32"/>
        </w:rPr>
        <w:t xml:space="preserve"> </w:t>
      </w:r>
    </w:p>
    <w:p>
      <w:pPr>
        <w:spacing w:line="600" w:lineRule="exact"/>
        <w:ind w:firstLine="640" w:firstLineChars="200"/>
        <w:rPr>
          <w:rFonts w:eastAsia="仿宋_GB2312"/>
          <w:sz w:val="32"/>
          <w:szCs w:val="32"/>
        </w:rPr>
      </w:pPr>
      <w:r>
        <w:rPr>
          <w:rFonts w:eastAsia="仿宋_GB2312"/>
          <w:sz w:val="32"/>
          <w:szCs w:val="32"/>
        </w:rPr>
        <w:t>D</w:t>
      </w:r>
      <w:r>
        <w:rPr>
          <w:rFonts w:hint="eastAsia" w:eastAsia="仿宋_GB2312"/>
          <w:sz w:val="32"/>
          <w:szCs w:val="32"/>
        </w:rPr>
        <w:t>类：市级领军人才。主要包括：</w:t>
      </w:r>
      <w:r>
        <w:rPr>
          <w:rFonts w:hint="eastAsia" w:eastAsia="仿宋_GB2312" w:cs="宋体"/>
          <w:sz w:val="32"/>
          <w:szCs w:val="32"/>
        </w:rPr>
        <w:t>科技、文化、教育、卫生等领域国家级、省级重要奖项获得者；市杰出人才与青年拔尖人才（原市突出贡献科技人才和专业技术拔尖人才）；</w:t>
      </w:r>
      <w:r>
        <w:rPr>
          <w:rFonts w:hint="eastAsia" w:eastAsia="仿宋_GB2312"/>
          <w:sz w:val="32"/>
          <w:szCs w:val="32"/>
        </w:rPr>
        <w:t>省“</w:t>
      </w:r>
      <w:r>
        <w:rPr>
          <w:rFonts w:eastAsia="仿宋_GB2312"/>
          <w:sz w:val="32"/>
          <w:szCs w:val="32"/>
        </w:rPr>
        <w:t>151</w:t>
      </w:r>
      <w:r>
        <w:rPr>
          <w:rFonts w:hint="eastAsia" w:eastAsia="仿宋_GB2312"/>
          <w:sz w:val="32"/>
          <w:szCs w:val="32"/>
        </w:rPr>
        <w:t>人才工程”第二层次以上培养人员；省级“海外工程师”；</w:t>
      </w:r>
      <w:r>
        <w:rPr>
          <w:rFonts w:hint="eastAsia" w:eastAsia="仿宋_GB2312" w:cs="宋体"/>
          <w:sz w:val="32"/>
          <w:szCs w:val="32"/>
        </w:rPr>
        <w:t>市“</w:t>
      </w:r>
      <w:r>
        <w:rPr>
          <w:rFonts w:eastAsia="仿宋_GB2312" w:cs="宋体"/>
          <w:sz w:val="32"/>
          <w:szCs w:val="32"/>
        </w:rPr>
        <w:t>551</w:t>
      </w:r>
      <w:r>
        <w:rPr>
          <w:rFonts w:hint="eastAsia" w:eastAsia="仿宋_GB2312" w:cs="宋体"/>
          <w:sz w:val="32"/>
          <w:szCs w:val="32"/>
        </w:rPr>
        <w:t>人才工程”第一层次培养人选；市“</w:t>
      </w:r>
      <w:r>
        <w:rPr>
          <w:rFonts w:eastAsia="仿宋_GB2312" w:cs="宋体"/>
          <w:sz w:val="32"/>
          <w:szCs w:val="32"/>
        </w:rPr>
        <w:t>580</w:t>
      </w:r>
      <w:r>
        <w:rPr>
          <w:rFonts w:hint="eastAsia" w:eastAsia="仿宋_GB2312" w:cs="宋体"/>
          <w:sz w:val="32"/>
          <w:szCs w:val="32"/>
        </w:rPr>
        <w:t>海外精英引进计划”入选者；市级以上重点创新团队带头人</w:t>
      </w:r>
      <w:r>
        <w:rPr>
          <w:rFonts w:hint="eastAsia" w:eastAsia="仿宋_GB2312"/>
          <w:sz w:val="32"/>
          <w:szCs w:val="32"/>
        </w:rPr>
        <w:t>；相当于上述层次的领军人才。</w:t>
      </w:r>
    </w:p>
    <w:p>
      <w:pPr>
        <w:spacing w:line="600" w:lineRule="exact"/>
        <w:ind w:firstLine="640" w:firstLineChars="200"/>
        <w:rPr>
          <w:rFonts w:eastAsia="黑体"/>
          <w:sz w:val="32"/>
          <w:szCs w:val="32"/>
        </w:rPr>
      </w:pPr>
      <w:r>
        <w:rPr>
          <w:rFonts w:eastAsia="仿宋_GB2312"/>
          <w:sz w:val="32"/>
          <w:szCs w:val="32"/>
        </w:rPr>
        <w:t>E</w:t>
      </w:r>
      <w:r>
        <w:rPr>
          <w:rFonts w:hint="eastAsia" w:eastAsia="仿宋_GB2312"/>
          <w:sz w:val="32"/>
          <w:szCs w:val="32"/>
        </w:rPr>
        <w:t>类：高级人才。主要包括：</w:t>
      </w:r>
      <w:r>
        <w:rPr>
          <w:rFonts w:hint="eastAsia" w:eastAsia="仿宋_GB2312" w:cs="宋体"/>
          <w:sz w:val="32"/>
          <w:szCs w:val="32"/>
        </w:rPr>
        <w:t>科技、文化、教育、卫生、技能等领域</w:t>
      </w:r>
      <w:r>
        <w:rPr>
          <w:rFonts w:hint="eastAsia" w:eastAsia="仿宋_GB2312"/>
          <w:sz w:val="32"/>
          <w:szCs w:val="32"/>
        </w:rPr>
        <w:t>市级重要奖项获得者；市“</w:t>
      </w:r>
      <w:r>
        <w:rPr>
          <w:rFonts w:eastAsia="仿宋_GB2312"/>
          <w:sz w:val="32"/>
          <w:szCs w:val="32"/>
        </w:rPr>
        <w:t>551</w:t>
      </w:r>
      <w:r>
        <w:rPr>
          <w:rFonts w:hint="eastAsia" w:eastAsia="仿宋_GB2312"/>
          <w:sz w:val="32"/>
          <w:szCs w:val="32"/>
        </w:rPr>
        <w:t>”人才工程第二层次培养人选；市级技能大师工作室领衔人；其他具有正高级职称的专业技术人才；获得博士学位人才；具有副高职称、硕士学位，并获得市级以上重点资助或成果获市级以上奖励的人才；经评审认定的市重点发展产业的技术、管理优秀人才或急需紧缺人才；相当于上述层次的高级人才。</w:t>
      </w:r>
    </w:p>
    <w:sectPr>
      <w:footerReference r:id="rId3" w:type="default"/>
      <w:footerReference r:id="rId4" w:type="even"/>
      <w:pgSz w:w="11906" w:h="16838"/>
      <w:pgMar w:top="1418" w:right="1701" w:bottom="1418"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Courier New">
    <w:panose1 w:val="02070309020205020404"/>
    <w:charset w:val="00"/>
    <w:family w:val="modern"/>
    <w:pitch w:val="default"/>
    <w:sig w:usb0="E0002AFF" w:usb1="C0007843" w:usb2="00000009" w:usb3="00000000" w:csb0="400001FF" w:csb1="FFFF0000"/>
  </w:font>
  <w:font w:name="方正小标宋简体">
    <w:altName w:val="Arial Unicode MS"/>
    <w:panose1 w:val="03000509000000000000"/>
    <w:charset w:val="86"/>
    <w:family w:val="script"/>
    <w:pitch w:val="default"/>
    <w:sig w:usb0="00000000" w:usb1="00000000" w:usb2="00000010" w:usb3="00000000" w:csb0="00040000" w:csb1="00000000"/>
  </w:font>
  <w:font w:name="微软雅黑">
    <w:panose1 w:val="020B0503020204020204"/>
    <w:charset w:val="86"/>
    <w:family w:val="swiss"/>
    <w:pitch w:val="default"/>
    <w:sig w:usb0="80000287" w:usb1="280F3C52"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Times">
    <w:altName w:val="Times New Roman"/>
    <w:panose1 w:val="02020603050405020304"/>
    <w:charset w:val="00"/>
    <w:family w:val="roman"/>
    <w:pitch w:val="default"/>
    <w:sig w:usb0="00000000" w:usb1="00000000" w:usb2="00000008" w:usb3="00000000" w:csb0="000001FF" w:csb1="00000000"/>
  </w:font>
  <w:font w:name="创艺简标宋">
    <w:altName w:val="黑体"/>
    <w:panose1 w:val="00000000000000000000"/>
    <w:charset w:val="86"/>
    <w:family w:val="auto"/>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8"/>
      </w:rPr>
    </w:pPr>
    <w:r>
      <w:rPr>
        <w:rStyle w:val="8"/>
      </w:rPr>
      <w:fldChar w:fldCharType="begin"/>
    </w:r>
    <w:r>
      <w:rPr>
        <w:rStyle w:val="8"/>
      </w:rPr>
      <w:instrText xml:space="preserve">PAGE  </w:instrText>
    </w:r>
    <w:r>
      <w:rPr>
        <w:rStyle w:val="8"/>
      </w:rPr>
      <w:fldChar w:fldCharType="separate"/>
    </w:r>
    <w:r>
      <w:rPr>
        <w:rStyle w:val="8"/>
      </w:rPr>
      <w:t>1</w:t>
    </w:r>
    <w:r>
      <w:rPr>
        <w:rStyle w:val="8"/>
      </w:rPr>
      <w:fldChar w:fldCharType="end"/>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8"/>
      </w:rPr>
    </w:pPr>
    <w:r>
      <w:rPr>
        <w:rStyle w:val="8"/>
      </w:rPr>
      <w:fldChar w:fldCharType="begin"/>
    </w:r>
    <w:r>
      <w:rPr>
        <w:rStyle w:val="8"/>
      </w:rPr>
      <w:instrText xml:space="preserve">PAGE  </w:instrText>
    </w:r>
    <w:r>
      <w:rPr>
        <w:rStyle w:val="8"/>
      </w:rPr>
      <w:fldChar w:fldCharType="end"/>
    </w: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7B23"/>
    <w:rsid w:val="00000B06"/>
    <w:rsid w:val="00003254"/>
    <w:rsid w:val="00007ADD"/>
    <w:rsid w:val="00027AEF"/>
    <w:rsid w:val="00051519"/>
    <w:rsid w:val="00057A72"/>
    <w:rsid w:val="000724F1"/>
    <w:rsid w:val="00074547"/>
    <w:rsid w:val="00082152"/>
    <w:rsid w:val="00094AFB"/>
    <w:rsid w:val="00096070"/>
    <w:rsid w:val="000A4CF4"/>
    <w:rsid w:val="000A76EC"/>
    <w:rsid w:val="000C2976"/>
    <w:rsid w:val="000C6577"/>
    <w:rsid w:val="000E2A3A"/>
    <w:rsid w:val="000E61AC"/>
    <w:rsid w:val="000E6FD1"/>
    <w:rsid w:val="000F0701"/>
    <w:rsid w:val="00100FC8"/>
    <w:rsid w:val="00102112"/>
    <w:rsid w:val="00107706"/>
    <w:rsid w:val="001257F9"/>
    <w:rsid w:val="00134F1C"/>
    <w:rsid w:val="0013644E"/>
    <w:rsid w:val="001411F1"/>
    <w:rsid w:val="00141EE2"/>
    <w:rsid w:val="001436D1"/>
    <w:rsid w:val="001572CC"/>
    <w:rsid w:val="00175121"/>
    <w:rsid w:val="00181B9C"/>
    <w:rsid w:val="001966A4"/>
    <w:rsid w:val="001A23EB"/>
    <w:rsid w:val="001A5042"/>
    <w:rsid w:val="001A7541"/>
    <w:rsid w:val="001B251F"/>
    <w:rsid w:val="001B7DD1"/>
    <w:rsid w:val="001C0BF0"/>
    <w:rsid w:val="001C2EBB"/>
    <w:rsid w:val="001C5E6E"/>
    <w:rsid w:val="001C6748"/>
    <w:rsid w:val="001D25A9"/>
    <w:rsid w:val="001D47CB"/>
    <w:rsid w:val="001F3460"/>
    <w:rsid w:val="001F6B15"/>
    <w:rsid w:val="0021015E"/>
    <w:rsid w:val="002108D5"/>
    <w:rsid w:val="002235B3"/>
    <w:rsid w:val="00240116"/>
    <w:rsid w:val="00242AF7"/>
    <w:rsid w:val="0025277E"/>
    <w:rsid w:val="00282766"/>
    <w:rsid w:val="002846DC"/>
    <w:rsid w:val="00284B4F"/>
    <w:rsid w:val="002A295D"/>
    <w:rsid w:val="002A3B39"/>
    <w:rsid w:val="002B230C"/>
    <w:rsid w:val="002E048C"/>
    <w:rsid w:val="002F02FA"/>
    <w:rsid w:val="002F60AD"/>
    <w:rsid w:val="002F6FFF"/>
    <w:rsid w:val="00301331"/>
    <w:rsid w:val="00301408"/>
    <w:rsid w:val="00303568"/>
    <w:rsid w:val="0030753D"/>
    <w:rsid w:val="00307661"/>
    <w:rsid w:val="00307AD7"/>
    <w:rsid w:val="003214DE"/>
    <w:rsid w:val="003223F6"/>
    <w:rsid w:val="003356BB"/>
    <w:rsid w:val="003418CB"/>
    <w:rsid w:val="003420A9"/>
    <w:rsid w:val="003431AE"/>
    <w:rsid w:val="00353B46"/>
    <w:rsid w:val="00357403"/>
    <w:rsid w:val="00370D09"/>
    <w:rsid w:val="0038470E"/>
    <w:rsid w:val="003A5B66"/>
    <w:rsid w:val="003B465A"/>
    <w:rsid w:val="003C7DF3"/>
    <w:rsid w:val="003D0212"/>
    <w:rsid w:val="003E2559"/>
    <w:rsid w:val="003E7545"/>
    <w:rsid w:val="00403795"/>
    <w:rsid w:val="00420D4A"/>
    <w:rsid w:val="00421281"/>
    <w:rsid w:val="00421D46"/>
    <w:rsid w:val="00424E62"/>
    <w:rsid w:val="004352E0"/>
    <w:rsid w:val="004357A7"/>
    <w:rsid w:val="00437B23"/>
    <w:rsid w:val="0044067F"/>
    <w:rsid w:val="00455A7D"/>
    <w:rsid w:val="004572F1"/>
    <w:rsid w:val="00475A2D"/>
    <w:rsid w:val="0048710B"/>
    <w:rsid w:val="004921CD"/>
    <w:rsid w:val="004951FA"/>
    <w:rsid w:val="00497E46"/>
    <w:rsid w:val="004A1DBF"/>
    <w:rsid w:val="004A62E0"/>
    <w:rsid w:val="004A7E6A"/>
    <w:rsid w:val="004C56C8"/>
    <w:rsid w:val="004D064A"/>
    <w:rsid w:val="004D36C1"/>
    <w:rsid w:val="004D3F05"/>
    <w:rsid w:val="004E39E7"/>
    <w:rsid w:val="004E7436"/>
    <w:rsid w:val="004F3A34"/>
    <w:rsid w:val="004F7A15"/>
    <w:rsid w:val="00505A5D"/>
    <w:rsid w:val="00505FC5"/>
    <w:rsid w:val="0051629F"/>
    <w:rsid w:val="005169A8"/>
    <w:rsid w:val="005302B6"/>
    <w:rsid w:val="00535FBA"/>
    <w:rsid w:val="00536377"/>
    <w:rsid w:val="005443CE"/>
    <w:rsid w:val="005453F1"/>
    <w:rsid w:val="0055027B"/>
    <w:rsid w:val="00550E0C"/>
    <w:rsid w:val="00563E2E"/>
    <w:rsid w:val="005724FF"/>
    <w:rsid w:val="00575678"/>
    <w:rsid w:val="00576AC0"/>
    <w:rsid w:val="00577361"/>
    <w:rsid w:val="0058555D"/>
    <w:rsid w:val="00587F11"/>
    <w:rsid w:val="005A20A1"/>
    <w:rsid w:val="005C0DF7"/>
    <w:rsid w:val="005C2DB1"/>
    <w:rsid w:val="005E453D"/>
    <w:rsid w:val="005E4D38"/>
    <w:rsid w:val="005F25C0"/>
    <w:rsid w:val="00601605"/>
    <w:rsid w:val="006053CD"/>
    <w:rsid w:val="00606384"/>
    <w:rsid w:val="006209CF"/>
    <w:rsid w:val="0063476F"/>
    <w:rsid w:val="00635275"/>
    <w:rsid w:val="00641ACA"/>
    <w:rsid w:val="00676DAB"/>
    <w:rsid w:val="00680B16"/>
    <w:rsid w:val="006845BC"/>
    <w:rsid w:val="00684B35"/>
    <w:rsid w:val="00684F3E"/>
    <w:rsid w:val="0068520F"/>
    <w:rsid w:val="0069648A"/>
    <w:rsid w:val="006A0EAB"/>
    <w:rsid w:val="006A3BE9"/>
    <w:rsid w:val="006A63E8"/>
    <w:rsid w:val="006B18D6"/>
    <w:rsid w:val="006B1F7F"/>
    <w:rsid w:val="006C293D"/>
    <w:rsid w:val="006C3902"/>
    <w:rsid w:val="006D3751"/>
    <w:rsid w:val="006F726E"/>
    <w:rsid w:val="006F770F"/>
    <w:rsid w:val="00712E66"/>
    <w:rsid w:val="007175E0"/>
    <w:rsid w:val="0072108C"/>
    <w:rsid w:val="00721948"/>
    <w:rsid w:val="00724B85"/>
    <w:rsid w:val="00725F2F"/>
    <w:rsid w:val="0073059C"/>
    <w:rsid w:val="0073664B"/>
    <w:rsid w:val="00740402"/>
    <w:rsid w:val="00746ABA"/>
    <w:rsid w:val="00766D89"/>
    <w:rsid w:val="00777FB4"/>
    <w:rsid w:val="007821D7"/>
    <w:rsid w:val="0078742E"/>
    <w:rsid w:val="00794543"/>
    <w:rsid w:val="007B12D5"/>
    <w:rsid w:val="007B7997"/>
    <w:rsid w:val="007C0FCC"/>
    <w:rsid w:val="007C1A76"/>
    <w:rsid w:val="007C3312"/>
    <w:rsid w:val="007D66E7"/>
    <w:rsid w:val="007D6A67"/>
    <w:rsid w:val="007E7A0C"/>
    <w:rsid w:val="0080147B"/>
    <w:rsid w:val="00803061"/>
    <w:rsid w:val="00814517"/>
    <w:rsid w:val="00820A64"/>
    <w:rsid w:val="00836406"/>
    <w:rsid w:val="00846B4B"/>
    <w:rsid w:val="00855978"/>
    <w:rsid w:val="0089084B"/>
    <w:rsid w:val="0089155A"/>
    <w:rsid w:val="008A32CA"/>
    <w:rsid w:val="008A33F3"/>
    <w:rsid w:val="008C1DC3"/>
    <w:rsid w:val="008C5740"/>
    <w:rsid w:val="008D3FE8"/>
    <w:rsid w:val="008F070B"/>
    <w:rsid w:val="008F2B82"/>
    <w:rsid w:val="009140CF"/>
    <w:rsid w:val="009174B4"/>
    <w:rsid w:val="00925BE2"/>
    <w:rsid w:val="00933048"/>
    <w:rsid w:val="00937635"/>
    <w:rsid w:val="009407C4"/>
    <w:rsid w:val="00964316"/>
    <w:rsid w:val="00975EAA"/>
    <w:rsid w:val="009C0056"/>
    <w:rsid w:val="009D04C1"/>
    <w:rsid w:val="009D0636"/>
    <w:rsid w:val="009D06CA"/>
    <w:rsid w:val="009E3166"/>
    <w:rsid w:val="009F5B08"/>
    <w:rsid w:val="00A0785F"/>
    <w:rsid w:val="00A22D54"/>
    <w:rsid w:val="00A23785"/>
    <w:rsid w:val="00A253AF"/>
    <w:rsid w:val="00A32C37"/>
    <w:rsid w:val="00A44FF2"/>
    <w:rsid w:val="00A5282D"/>
    <w:rsid w:val="00A54208"/>
    <w:rsid w:val="00A56C86"/>
    <w:rsid w:val="00A650E4"/>
    <w:rsid w:val="00A71AA0"/>
    <w:rsid w:val="00A7727A"/>
    <w:rsid w:val="00A87786"/>
    <w:rsid w:val="00A91FC0"/>
    <w:rsid w:val="00A96224"/>
    <w:rsid w:val="00A9705C"/>
    <w:rsid w:val="00AA5B71"/>
    <w:rsid w:val="00AC0D2D"/>
    <w:rsid w:val="00AC5826"/>
    <w:rsid w:val="00AC7067"/>
    <w:rsid w:val="00AD7E52"/>
    <w:rsid w:val="00AF19B1"/>
    <w:rsid w:val="00AF5CAB"/>
    <w:rsid w:val="00B00915"/>
    <w:rsid w:val="00B12EA4"/>
    <w:rsid w:val="00B15F34"/>
    <w:rsid w:val="00B179DA"/>
    <w:rsid w:val="00B22883"/>
    <w:rsid w:val="00B24B15"/>
    <w:rsid w:val="00B3249F"/>
    <w:rsid w:val="00B35406"/>
    <w:rsid w:val="00B42755"/>
    <w:rsid w:val="00B56794"/>
    <w:rsid w:val="00B8689D"/>
    <w:rsid w:val="00B9174A"/>
    <w:rsid w:val="00BA0F69"/>
    <w:rsid w:val="00BA7A71"/>
    <w:rsid w:val="00BC3DAC"/>
    <w:rsid w:val="00BD3F93"/>
    <w:rsid w:val="00BE016A"/>
    <w:rsid w:val="00BF0D16"/>
    <w:rsid w:val="00BF21CE"/>
    <w:rsid w:val="00C00516"/>
    <w:rsid w:val="00C16004"/>
    <w:rsid w:val="00C25D8E"/>
    <w:rsid w:val="00C26112"/>
    <w:rsid w:val="00C26ACE"/>
    <w:rsid w:val="00C300E5"/>
    <w:rsid w:val="00C31229"/>
    <w:rsid w:val="00C31BAC"/>
    <w:rsid w:val="00C455FB"/>
    <w:rsid w:val="00C64F63"/>
    <w:rsid w:val="00C65B37"/>
    <w:rsid w:val="00C66491"/>
    <w:rsid w:val="00C70EE9"/>
    <w:rsid w:val="00C7448B"/>
    <w:rsid w:val="00C74B33"/>
    <w:rsid w:val="00C75F1E"/>
    <w:rsid w:val="00C80EAB"/>
    <w:rsid w:val="00C96189"/>
    <w:rsid w:val="00CB1EF2"/>
    <w:rsid w:val="00CB59DA"/>
    <w:rsid w:val="00CB6087"/>
    <w:rsid w:val="00CC4259"/>
    <w:rsid w:val="00CC48FB"/>
    <w:rsid w:val="00CD6710"/>
    <w:rsid w:val="00CF0CA5"/>
    <w:rsid w:val="00CF213C"/>
    <w:rsid w:val="00D031B2"/>
    <w:rsid w:val="00D044AD"/>
    <w:rsid w:val="00D060B1"/>
    <w:rsid w:val="00D17260"/>
    <w:rsid w:val="00D35E6D"/>
    <w:rsid w:val="00D45016"/>
    <w:rsid w:val="00D47FA6"/>
    <w:rsid w:val="00D54462"/>
    <w:rsid w:val="00D546C0"/>
    <w:rsid w:val="00D75CFF"/>
    <w:rsid w:val="00DB1407"/>
    <w:rsid w:val="00DB3A2A"/>
    <w:rsid w:val="00DB4E07"/>
    <w:rsid w:val="00DC78A4"/>
    <w:rsid w:val="00DD5D4F"/>
    <w:rsid w:val="00DE0CCA"/>
    <w:rsid w:val="00DF195D"/>
    <w:rsid w:val="00DF526A"/>
    <w:rsid w:val="00DF5D4E"/>
    <w:rsid w:val="00DF7353"/>
    <w:rsid w:val="00E0526A"/>
    <w:rsid w:val="00E06D9B"/>
    <w:rsid w:val="00E12EE5"/>
    <w:rsid w:val="00E17F3A"/>
    <w:rsid w:val="00E23F20"/>
    <w:rsid w:val="00E2503E"/>
    <w:rsid w:val="00E336D5"/>
    <w:rsid w:val="00E431A7"/>
    <w:rsid w:val="00E52B97"/>
    <w:rsid w:val="00E675F9"/>
    <w:rsid w:val="00E77F48"/>
    <w:rsid w:val="00E8637D"/>
    <w:rsid w:val="00EA1304"/>
    <w:rsid w:val="00EA21EE"/>
    <w:rsid w:val="00EA3038"/>
    <w:rsid w:val="00EA688A"/>
    <w:rsid w:val="00EB1C90"/>
    <w:rsid w:val="00EC0C7D"/>
    <w:rsid w:val="00EC3C68"/>
    <w:rsid w:val="00ED1A58"/>
    <w:rsid w:val="00ED577D"/>
    <w:rsid w:val="00F14016"/>
    <w:rsid w:val="00F1464F"/>
    <w:rsid w:val="00F152B0"/>
    <w:rsid w:val="00F23845"/>
    <w:rsid w:val="00F24ED8"/>
    <w:rsid w:val="00F3036A"/>
    <w:rsid w:val="00F4719F"/>
    <w:rsid w:val="00F52C83"/>
    <w:rsid w:val="00F80392"/>
    <w:rsid w:val="00F82247"/>
    <w:rsid w:val="00F834BE"/>
    <w:rsid w:val="00F957BA"/>
    <w:rsid w:val="00F966C8"/>
    <w:rsid w:val="00FC2995"/>
    <w:rsid w:val="00FD1362"/>
    <w:rsid w:val="00FE5EA8"/>
    <w:rsid w:val="00FF14BD"/>
    <w:rsid w:val="00FF6763"/>
    <w:rsid w:val="2135256A"/>
    <w:rsid w:val="4ED12CE5"/>
    <w:rsid w:val="73580BCB"/>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iPriority="99"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99" w:semiHidden="0" w:name="Hyperlink"/>
    <w:lsdException w:uiPriority="99" w:name="FollowedHyperlink"/>
    <w:lsdException w:qFormat="1" w:unhideWhenUsed="0" w:uiPriority="99" w:semiHidden="0" w:name="Strong" w:locked="1"/>
    <w:lsdException w:qFormat="1" w:unhideWhenUsed="0" w:uiPriority="0" w:semiHidden="0" w:name="Emphasis" w:locked="1"/>
    <w:lsdException w:uiPriority="99" w:name="Document Map"/>
    <w:lsdException w:unhideWhenUsed="0" w:uiPriority="99" w:semiHidden="0" w:name="Plain Text"/>
    <w:lsdException w:uiPriority="99" w:name="E-mail Signature"/>
    <w:lsdException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11"/>
    <w:qFormat/>
    <w:locked/>
    <w:uiPriority w:val="99"/>
    <w:pPr>
      <w:widowControl/>
      <w:spacing w:before="100" w:beforeAutospacing="1" w:after="100" w:afterAutospacing="1"/>
      <w:jc w:val="left"/>
      <w:outlineLvl w:val="0"/>
    </w:pPr>
    <w:rPr>
      <w:rFonts w:ascii="宋体" w:hAnsi="宋体" w:cs="宋体"/>
      <w:b/>
      <w:bCs/>
      <w:kern w:val="36"/>
      <w:sz w:val="48"/>
      <w:szCs w:val="48"/>
    </w:rPr>
  </w:style>
  <w:style w:type="character" w:default="1" w:styleId="6">
    <w:name w:val="Default Paragraph Font"/>
    <w:semiHidden/>
    <w:uiPriority w:val="99"/>
  </w:style>
  <w:style w:type="table" w:default="1" w:styleId="10">
    <w:name w:val="Normal Table"/>
    <w:unhideWhenUsed/>
    <w:qFormat/>
    <w:uiPriority w:val="99"/>
    <w:tblPr>
      <w:tblLayout w:type="fixed"/>
      <w:tblCellMar>
        <w:top w:w="0" w:type="dxa"/>
        <w:left w:w="108" w:type="dxa"/>
        <w:bottom w:w="0" w:type="dxa"/>
        <w:right w:w="108" w:type="dxa"/>
      </w:tblCellMar>
    </w:tblPr>
  </w:style>
  <w:style w:type="paragraph" w:styleId="3">
    <w:name w:val="Plain Text"/>
    <w:basedOn w:val="1"/>
    <w:link w:val="17"/>
    <w:uiPriority w:val="99"/>
    <w:rPr>
      <w:rFonts w:ascii="宋体" w:hAnsi="Courier New"/>
      <w:kern w:val="0"/>
      <w:szCs w:val="21"/>
    </w:rPr>
  </w:style>
  <w:style w:type="paragraph" w:styleId="4">
    <w:name w:val="footer"/>
    <w:basedOn w:val="1"/>
    <w:link w:val="13"/>
    <w:uiPriority w:val="99"/>
    <w:pPr>
      <w:tabs>
        <w:tab w:val="center" w:pos="4153"/>
        <w:tab w:val="right" w:pos="8306"/>
      </w:tabs>
      <w:snapToGrid w:val="0"/>
      <w:jc w:val="left"/>
    </w:pPr>
    <w:rPr>
      <w:sz w:val="18"/>
      <w:szCs w:val="18"/>
    </w:rPr>
  </w:style>
  <w:style w:type="paragraph" w:styleId="5">
    <w:name w:val="Normal (Web)"/>
    <w:basedOn w:val="1"/>
    <w:uiPriority w:val="99"/>
    <w:pPr>
      <w:widowControl/>
      <w:spacing w:before="100" w:beforeAutospacing="1" w:after="100" w:afterAutospacing="1"/>
      <w:jc w:val="left"/>
    </w:pPr>
    <w:rPr>
      <w:rFonts w:ascii="宋体" w:hAnsi="宋体" w:cs="宋体"/>
      <w:kern w:val="0"/>
      <w:sz w:val="24"/>
      <w:szCs w:val="24"/>
    </w:rPr>
  </w:style>
  <w:style w:type="character" w:styleId="7">
    <w:name w:val="Strong"/>
    <w:basedOn w:val="6"/>
    <w:qFormat/>
    <w:locked/>
    <w:uiPriority w:val="99"/>
    <w:rPr>
      <w:rFonts w:cs="Times New Roman"/>
      <w:b/>
      <w:bCs/>
    </w:rPr>
  </w:style>
  <w:style w:type="character" w:styleId="8">
    <w:name w:val="page number"/>
    <w:basedOn w:val="6"/>
    <w:uiPriority w:val="99"/>
    <w:rPr>
      <w:rFonts w:cs="Times New Roman"/>
    </w:rPr>
  </w:style>
  <w:style w:type="character" w:styleId="9">
    <w:name w:val="Hyperlink"/>
    <w:basedOn w:val="6"/>
    <w:uiPriority w:val="99"/>
    <w:rPr>
      <w:rFonts w:cs="Times New Roman"/>
      <w:color w:val="0000FF"/>
      <w:u w:val="single"/>
    </w:rPr>
  </w:style>
  <w:style w:type="character" w:customStyle="1" w:styleId="11">
    <w:name w:val="Heading 1 Char"/>
    <w:basedOn w:val="6"/>
    <w:link w:val="2"/>
    <w:locked/>
    <w:uiPriority w:val="99"/>
    <w:rPr>
      <w:rFonts w:cs="Times New Roman"/>
      <w:b/>
      <w:bCs/>
      <w:kern w:val="44"/>
      <w:sz w:val="44"/>
      <w:szCs w:val="44"/>
    </w:rPr>
  </w:style>
  <w:style w:type="paragraph" w:customStyle="1" w:styleId="12">
    <w:name w:val="List Paragraph"/>
    <w:basedOn w:val="1"/>
    <w:qFormat/>
    <w:uiPriority w:val="99"/>
    <w:pPr>
      <w:ind w:firstLine="420" w:firstLineChars="200"/>
    </w:pPr>
  </w:style>
  <w:style w:type="character" w:customStyle="1" w:styleId="13">
    <w:name w:val="Footer Char"/>
    <w:basedOn w:val="6"/>
    <w:link w:val="4"/>
    <w:semiHidden/>
    <w:locked/>
    <w:uiPriority w:val="99"/>
    <w:rPr>
      <w:rFonts w:cs="Times New Roman"/>
      <w:sz w:val="18"/>
      <w:szCs w:val="18"/>
    </w:rPr>
  </w:style>
  <w:style w:type="paragraph" w:customStyle="1" w:styleId="14">
    <w:name w:val="默认段落字体 Para Char Char Char Char Char Char Char"/>
    <w:basedOn w:val="1"/>
    <w:uiPriority w:val="99"/>
    <w:rPr>
      <w:rFonts w:ascii="Tahoma" w:hAnsi="Tahoma"/>
      <w:sz w:val="24"/>
      <w:szCs w:val="20"/>
    </w:rPr>
  </w:style>
  <w:style w:type="character" w:customStyle="1" w:styleId="15">
    <w:name w:val="apple-converted-space"/>
    <w:basedOn w:val="6"/>
    <w:uiPriority w:val="99"/>
    <w:rPr>
      <w:rFonts w:cs="Times New Roman"/>
    </w:rPr>
  </w:style>
  <w:style w:type="character" w:customStyle="1" w:styleId="16">
    <w:name w:val="Plain Text Char1"/>
    <w:qFormat/>
    <w:locked/>
    <w:uiPriority w:val="99"/>
    <w:rPr>
      <w:rFonts w:ascii="宋体" w:hAnsi="Courier New" w:eastAsia="宋体"/>
      <w:sz w:val="21"/>
    </w:rPr>
  </w:style>
  <w:style w:type="character" w:customStyle="1" w:styleId="17">
    <w:name w:val="Plain Text Char"/>
    <w:basedOn w:val="6"/>
    <w:link w:val="3"/>
    <w:semiHidden/>
    <w:locked/>
    <w:uiPriority w:val="99"/>
    <w:rPr>
      <w:rFonts w:ascii="宋体" w:hAnsi="Courier New" w:cs="Courier New"/>
      <w:sz w:val="21"/>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Pages>16</Pages>
  <Words>1430</Words>
  <Characters>8153</Characters>
  <Lines>0</Lines>
  <Paragraphs>0</Paragraphs>
  <TotalTime>0</TotalTime>
  <ScaleCrop>false</ScaleCrop>
  <LinksUpToDate>false</LinksUpToDate>
  <CharactersWithSpaces>0</CharactersWithSpaces>
  <Application>WPS Office_10.1.0.6554_F1E327BC-269C-435d-A152-05C5408002CA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2017-06-13T03:45:00Z</dcterms:created>
  <dc:creator>Lenovo</dc:creator>
  <cp:lastModifiedBy>chy</cp:lastModifiedBy>
  <cp:lastPrinted>2017-06-23T00:52:00Z</cp:lastPrinted>
  <dcterms:modified xsi:type="dcterms:W3CDTF">2017-06-23T08:37:02Z</dcterms:modified>
  <dc:title>2017年温州市教育局10所直属公办学校</dc:title>
  <cp:revision>97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