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hint="eastAsia" w:ascii="黑体" w:hAnsi="黑体" w:eastAsia="黑体" w:cs="宋体"/>
          <w:b/>
          <w:kern w:val="0"/>
          <w:sz w:val="44"/>
          <w:szCs w:val="44"/>
        </w:rPr>
      </w:pPr>
      <w:r>
        <w:rPr>
          <w:rFonts w:hint="eastAsia" w:ascii="黑体" w:hAnsi="黑体" w:eastAsia="黑体" w:cs="宋体"/>
          <w:b/>
          <w:kern w:val="0"/>
          <w:sz w:val="44"/>
          <w:szCs w:val="44"/>
        </w:rPr>
        <w:t>贵州省岑巩县2018年高薪引进教师岗位一览表</w:t>
      </w:r>
    </w:p>
    <w:tbl>
      <w:tblPr>
        <w:tblStyle w:val="3"/>
        <w:tblW w:w="15182" w:type="dxa"/>
        <w:tblInd w:w="94" w:type="dxa"/>
        <w:tblLayout w:type="fixed"/>
        <w:tblCellMar>
          <w:top w:w="0" w:type="dxa"/>
          <w:left w:w="108" w:type="dxa"/>
          <w:bottom w:w="0" w:type="dxa"/>
          <w:right w:w="108" w:type="dxa"/>
        </w:tblCellMar>
      </w:tblPr>
      <w:tblGrid>
        <w:gridCol w:w="660"/>
        <w:gridCol w:w="680"/>
        <w:gridCol w:w="659"/>
        <w:gridCol w:w="850"/>
        <w:gridCol w:w="1134"/>
        <w:gridCol w:w="709"/>
        <w:gridCol w:w="2410"/>
        <w:gridCol w:w="4819"/>
        <w:gridCol w:w="993"/>
        <w:gridCol w:w="1559"/>
        <w:gridCol w:w="709"/>
      </w:tblGrid>
      <w:tr>
        <w:tblPrEx>
          <w:tblLayout w:type="fixed"/>
          <w:tblCellMar>
            <w:top w:w="0" w:type="dxa"/>
            <w:left w:w="108" w:type="dxa"/>
            <w:bottom w:w="0" w:type="dxa"/>
            <w:right w:w="108" w:type="dxa"/>
          </w:tblCellMar>
        </w:tblPrEx>
        <w:trPr>
          <w:trHeight w:val="270" w:hRule="atLeast"/>
        </w:trPr>
        <w:tc>
          <w:tcPr>
            <w:tcW w:w="6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b/>
                <w:bCs/>
                <w:kern w:val="0"/>
                <w:sz w:val="20"/>
                <w:szCs w:val="20"/>
              </w:rPr>
            </w:pPr>
            <w:r>
              <w:rPr>
                <w:rFonts w:hint="eastAsia" w:ascii="宋体" w:hAnsi="宋体" w:cs="宋体"/>
                <w:b/>
                <w:bCs/>
                <w:kern w:val="0"/>
                <w:sz w:val="20"/>
                <w:szCs w:val="20"/>
              </w:rPr>
              <w:t>主管部门</w:t>
            </w:r>
          </w:p>
        </w:tc>
        <w:tc>
          <w:tcPr>
            <w:tcW w:w="68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b/>
                <w:bCs/>
                <w:kern w:val="0"/>
                <w:sz w:val="20"/>
                <w:szCs w:val="20"/>
              </w:rPr>
            </w:pPr>
            <w:r>
              <w:rPr>
                <w:rFonts w:hint="eastAsia" w:ascii="宋体" w:hAnsi="宋体" w:cs="宋体"/>
                <w:b/>
                <w:bCs/>
                <w:kern w:val="0"/>
                <w:sz w:val="20"/>
                <w:szCs w:val="20"/>
              </w:rPr>
              <w:t>用人单位名称</w:t>
            </w:r>
          </w:p>
        </w:tc>
        <w:tc>
          <w:tcPr>
            <w:tcW w:w="65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b/>
                <w:bCs/>
                <w:kern w:val="0"/>
                <w:sz w:val="20"/>
                <w:szCs w:val="20"/>
              </w:rPr>
            </w:pPr>
            <w:r>
              <w:rPr>
                <w:rFonts w:hint="eastAsia" w:ascii="宋体" w:hAnsi="宋体" w:cs="宋体"/>
                <w:b/>
                <w:bCs/>
                <w:kern w:val="0"/>
                <w:sz w:val="20"/>
                <w:szCs w:val="20"/>
              </w:rPr>
              <w:t>岗位代码</w:t>
            </w:r>
          </w:p>
        </w:tc>
        <w:tc>
          <w:tcPr>
            <w:tcW w:w="85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b/>
                <w:bCs/>
                <w:kern w:val="0"/>
                <w:sz w:val="20"/>
                <w:szCs w:val="20"/>
              </w:rPr>
            </w:pPr>
            <w:r>
              <w:rPr>
                <w:rFonts w:hint="eastAsia" w:ascii="宋体" w:hAnsi="宋体" w:cs="宋体"/>
                <w:b/>
                <w:bCs/>
                <w:kern w:val="0"/>
                <w:sz w:val="20"/>
                <w:szCs w:val="20"/>
              </w:rPr>
              <w:t>岗位类型</w:t>
            </w:r>
          </w:p>
        </w:tc>
        <w:tc>
          <w:tcPr>
            <w:tcW w:w="113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b/>
                <w:bCs/>
                <w:kern w:val="0"/>
                <w:sz w:val="20"/>
                <w:szCs w:val="20"/>
              </w:rPr>
            </w:pPr>
            <w:r>
              <w:rPr>
                <w:rFonts w:hint="eastAsia" w:ascii="宋体" w:hAnsi="宋体" w:cs="宋体"/>
                <w:b/>
                <w:bCs/>
                <w:kern w:val="0"/>
                <w:sz w:val="20"/>
                <w:szCs w:val="20"/>
              </w:rPr>
              <w:t>岗位名称（简介）</w:t>
            </w:r>
          </w:p>
        </w:tc>
        <w:tc>
          <w:tcPr>
            <w:tcW w:w="70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b/>
                <w:bCs/>
                <w:kern w:val="0"/>
                <w:sz w:val="20"/>
                <w:szCs w:val="20"/>
              </w:rPr>
            </w:pPr>
            <w:r>
              <w:rPr>
                <w:rFonts w:hint="eastAsia" w:ascii="宋体" w:hAnsi="宋体" w:cs="宋体"/>
                <w:b/>
                <w:bCs/>
                <w:kern w:val="0"/>
                <w:sz w:val="20"/>
                <w:szCs w:val="20"/>
              </w:rPr>
              <w:t>引才人数</w:t>
            </w:r>
          </w:p>
        </w:tc>
        <w:tc>
          <w:tcPr>
            <w:tcW w:w="9781" w:type="dxa"/>
            <w:gridSpan w:val="4"/>
            <w:tcBorders>
              <w:top w:val="single" w:color="auto" w:sz="4" w:space="0"/>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b/>
                <w:bCs/>
                <w:kern w:val="0"/>
                <w:sz w:val="20"/>
                <w:szCs w:val="20"/>
              </w:rPr>
            </w:pPr>
            <w:r>
              <w:rPr>
                <w:rFonts w:hint="eastAsia" w:ascii="宋体" w:hAnsi="宋体" w:cs="宋体"/>
                <w:b/>
                <w:bCs/>
                <w:kern w:val="0"/>
                <w:sz w:val="20"/>
                <w:szCs w:val="20"/>
              </w:rPr>
              <w:t>急需紧缺人才要求条件</w:t>
            </w:r>
          </w:p>
        </w:tc>
        <w:tc>
          <w:tcPr>
            <w:tcW w:w="70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b/>
                <w:bCs/>
                <w:kern w:val="0"/>
                <w:sz w:val="20"/>
                <w:szCs w:val="20"/>
              </w:rPr>
            </w:pPr>
            <w:r>
              <w:rPr>
                <w:rFonts w:hint="eastAsia" w:ascii="宋体" w:hAnsi="宋体" w:cs="宋体"/>
                <w:b/>
                <w:bCs/>
                <w:kern w:val="0"/>
                <w:sz w:val="20"/>
                <w:szCs w:val="20"/>
              </w:rPr>
              <w:t>备注</w:t>
            </w:r>
          </w:p>
        </w:tc>
      </w:tr>
      <w:tr>
        <w:tblPrEx>
          <w:tblLayout w:type="fixed"/>
          <w:tblCellMar>
            <w:top w:w="0" w:type="dxa"/>
            <w:left w:w="108" w:type="dxa"/>
            <w:bottom w:w="0" w:type="dxa"/>
            <w:right w:w="108" w:type="dxa"/>
          </w:tblCellMar>
        </w:tblPrEx>
        <w:trPr>
          <w:trHeight w:val="480" w:hRule="atLeast"/>
        </w:trPr>
        <w:tc>
          <w:tcPr>
            <w:tcW w:w="6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b/>
                <w:bCs/>
                <w:kern w:val="0"/>
                <w:sz w:val="20"/>
                <w:szCs w:val="20"/>
              </w:rPr>
            </w:pPr>
          </w:p>
        </w:tc>
        <w:tc>
          <w:tcPr>
            <w:tcW w:w="6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b/>
                <w:bCs/>
                <w:kern w:val="0"/>
                <w:sz w:val="20"/>
                <w:szCs w:val="20"/>
              </w:rPr>
            </w:pPr>
          </w:p>
        </w:tc>
        <w:tc>
          <w:tcPr>
            <w:tcW w:w="65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b/>
                <w:bCs/>
                <w:kern w:val="0"/>
                <w:sz w:val="20"/>
                <w:szCs w:val="20"/>
              </w:rPr>
            </w:pPr>
          </w:p>
        </w:tc>
        <w:tc>
          <w:tcPr>
            <w:tcW w:w="8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b/>
                <w:bCs/>
                <w:kern w:val="0"/>
                <w:sz w:val="20"/>
                <w:szCs w:val="20"/>
              </w:rPr>
            </w:pPr>
          </w:p>
        </w:tc>
        <w:tc>
          <w:tcPr>
            <w:tcW w:w="113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b/>
                <w:bCs/>
                <w:kern w:val="0"/>
                <w:sz w:val="20"/>
                <w:szCs w:val="20"/>
              </w:rPr>
            </w:pPr>
          </w:p>
        </w:tc>
        <w:tc>
          <w:tcPr>
            <w:tcW w:w="70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b/>
                <w:bCs/>
                <w:kern w:val="0"/>
                <w:sz w:val="20"/>
                <w:szCs w:val="20"/>
              </w:rPr>
            </w:pPr>
          </w:p>
        </w:tc>
        <w:tc>
          <w:tcPr>
            <w:tcW w:w="241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b/>
                <w:bCs/>
                <w:kern w:val="0"/>
                <w:sz w:val="20"/>
                <w:szCs w:val="20"/>
              </w:rPr>
            </w:pPr>
            <w:r>
              <w:rPr>
                <w:rFonts w:hint="eastAsia" w:ascii="宋体" w:hAnsi="宋体" w:cs="宋体"/>
                <w:b/>
                <w:bCs/>
                <w:kern w:val="0"/>
                <w:sz w:val="20"/>
                <w:szCs w:val="20"/>
              </w:rPr>
              <w:t>学历、学位要求</w:t>
            </w:r>
          </w:p>
        </w:tc>
        <w:tc>
          <w:tcPr>
            <w:tcW w:w="4819"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b/>
                <w:bCs/>
                <w:kern w:val="0"/>
                <w:sz w:val="20"/>
                <w:szCs w:val="20"/>
              </w:rPr>
            </w:pPr>
            <w:r>
              <w:rPr>
                <w:rFonts w:hint="eastAsia" w:ascii="宋体" w:hAnsi="宋体" w:cs="宋体"/>
                <w:b/>
                <w:bCs/>
                <w:kern w:val="0"/>
                <w:sz w:val="20"/>
                <w:szCs w:val="20"/>
              </w:rPr>
              <w:t>需求专业</w:t>
            </w:r>
          </w:p>
        </w:tc>
        <w:tc>
          <w:tcPr>
            <w:tcW w:w="993"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b/>
                <w:bCs/>
                <w:kern w:val="0"/>
                <w:sz w:val="20"/>
                <w:szCs w:val="20"/>
              </w:rPr>
            </w:pPr>
            <w:r>
              <w:rPr>
                <w:rFonts w:hint="eastAsia" w:ascii="宋体" w:hAnsi="宋体" w:cs="宋体"/>
                <w:b/>
                <w:bCs/>
                <w:kern w:val="0"/>
                <w:sz w:val="20"/>
                <w:szCs w:val="20"/>
              </w:rPr>
              <w:t>年龄</w:t>
            </w:r>
          </w:p>
        </w:tc>
        <w:tc>
          <w:tcPr>
            <w:tcW w:w="1559"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b/>
                <w:bCs/>
                <w:kern w:val="0"/>
                <w:sz w:val="20"/>
                <w:szCs w:val="20"/>
              </w:rPr>
            </w:pPr>
            <w:r>
              <w:rPr>
                <w:rFonts w:hint="eastAsia" w:ascii="宋体" w:hAnsi="宋体" w:cs="宋体"/>
                <w:b/>
                <w:bCs/>
                <w:kern w:val="0"/>
                <w:sz w:val="20"/>
                <w:szCs w:val="20"/>
              </w:rPr>
              <w:t>其他条件</w:t>
            </w: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宋体" w:hAnsi="宋体" w:cs="宋体"/>
                <w:b/>
                <w:bCs/>
                <w:kern w:val="0"/>
                <w:sz w:val="20"/>
                <w:szCs w:val="20"/>
              </w:rPr>
            </w:pPr>
          </w:p>
        </w:tc>
      </w:tr>
      <w:tr>
        <w:tblPrEx>
          <w:tblLayout w:type="fixed"/>
          <w:tblCellMar>
            <w:top w:w="0" w:type="dxa"/>
            <w:left w:w="108" w:type="dxa"/>
            <w:bottom w:w="0" w:type="dxa"/>
            <w:right w:w="108" w:type="dxa"/>
          </w:tblCellMar>
        </w:tblPrEx>
        <w:trPr>
          <w:trHeight w:val="915" w:hRule="atLeast"/>
        </w:trPr>
        <w:tc>
          <w:tcPr>
            <w:tcW w:w="66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岑巩县教育和科技局</w:t>
            </w:r>
          </w:p>
        </w:tc>
        <w:tc>
          <w:tcPr>
            <w:tcW w:w="68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岑巩县第一中学</w:t>
            </w:r>
          </w:p>
        </w:tc>
        <w:tc>
          <w:tcPr>
            <w:tcW w:w="659"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92</w:t>
            </w:r>
          </w:p>
        </w:tc>
        <w:tc>
          <w:tcPr>
            <w:tcW w:w="85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专业技术岗位</w:t>
            </w:r>
          </w:p>
        </w:tc>
        <w:tc>
          <w:tcPr>
            <w:tcW w:w="1134"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语文教学</w:t>
            </w:r>
          </w:p>
        </w:tc>
        <w:tc>
          <w:tcPr>
            <w:tcW w:w="709"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2</w:t>
            </w:r>
          </w:p>
        </w:tc>
        <w:tc>
          <w:tcPr>
            <w:tcW w:w="241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全日制普通高校大学本科、学士及以上学历学位</w:t>
            </w:r>
          </w:p>
        </w:tc>
        <w:tc>
          <w:tcPr>
            <w:tcW w:w="4819" w:type="dxa"/>
            <w:tcBorders>
              <w:top w:val="nil"/>
              <w:left w:val="nil"/>
              <w:bottom w:val="single" w:color="auto" w:sz="4" w:space="0"/>
              <w:right w:val="single" w:color="auto" w:sz="4" w:space="0"/>
            </w:tcBorders>
            <w:shd w:val="clear" w:color="auto" w:fill="auto"/>
            <w:vAlign w:val="center"/>
          </w:tcPr>
          <w:p>
            <w:pPr>
              <w:widowControl/>
              <w:spacing w:line="260" w:lineRule="exact"/>
              <w:jc w:val="left"/>
              <w:rPr>
                <w:rFonts w:ascii="宋体" w:hAnsi="宋体" w:cs="宋体"/>
                <w:kern w:val="0"/>
                <w:sz w:val="20"/>
                <w:szCs w:val="20"/>
              </w:rPr>
            </w:pPr>
            <w:r>
              <w:rPr>
                <w:rFonts w:hint="eastAsia" w:ascii="宋体" w:hAnsi="宋体" w:cs="宋体"/>
                <w:kern w:val="0"/>
                <w:sz w:val="20"/>
                <w:szCs w:val="20"/>
              </w:rPr>
              <w:t>本科：语文教育、汉语言文学、汉语言、应用语言学、中国语言文学、中国少数民族语言文学。</w:t>
            </w:r>
            <w:r>
              <w:rPr>
                <w:rFonts w:hint="eastAsia" w:ascii="宋体" w:hAnsi="宋体" w:cs="宋体"/>
                <w:kern w:val="0"/>
                <w:sz w:val="20"/>
                <w:szCs w:val="20"/>
              </w:rPr>
              <w:br w:type="textWrapping"/>
            </w:r>
            <w:r>
              <w:rPr>
                <w:rFonts w:hint="eastAsia" w:ascii="宋体" w:hAnsi="宋体" w:cs="宋体"/>
                <w:kern w:val="0"/>
                <w:sz w:val="20"/>
                <w:szCs w:val="20"/>
              </w:rPr>
              <w:t>硕士：中国语言文学类、学科教学（语文）。</w:t>
            </w:r>
          </w:p>
        </w:tc>
        <w:tc>
          <w:tcPr>
            <w:tcW w:w="993"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35周岁及以下</w:t>
            </w:r>
          </w:p>
        </w:tc>
        <w:tc>
          <w:tcPr>
            <w:tcW w:w="1559"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持有高中教师资格证或通过高中教师资格证考试并成绩合格，取得中级及以上专业技术职称者学历学位可放宽至全日制普通高校本科学历、学士学位及以上、年龄可放宽至40周岁及以下。本科限“985”或“211”工程院校毕业生。</w:t>
            </w:r>
          </w:p>
        </w:tc>
        <w:tc>
          <w:tcPr>
            <w:tcW w:w="709"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　</w:t>
            </w:r>
          </w:p>
        </w:tc>
      </w:tr>
      <w:tr>
        <w:tblPrEx>
          <w:tblLayout w:type="fixed"/>
          <w:tblCellMar>
            <w:top w:w="0" w:type="dxa"/>
            <w:left w:w="108" w:type="dxa"/>
            <w:bottom w:w="0" w:type="dxa"/>
            <w:right w:w="108" w:type="dxa"/>
          </w:tblCellMar>
        </w:tblPrEx>
        <w:trPr>
          <w:trHeight w:val="705" w:hRule="atLeast"/>
        </w:trPr>
        <w:tc>
          <w:tcPr>
            <w:tcW w:w="660"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kern w:val="0"/>
                <w:sz w:val="20"/>
                <w:szCs w:val="20"/>
              </w:rPr>
            </w:pPr>
          </w:p>
        </w:tc>
        <w:tc>
          <w:tcPr>
            <w:tcW w:w="680"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kern w:val="0"/>
                <w:sz w:val="20"/>
                <w:szCs w:val="20"/>
              </w:rPr>
            </w:pPr>
          </w:p>
        </w:tc>
        <w:tc>
          <w:tcPr>
            <w:tcW w:w="659"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93</w:t>
            </w:r>
          </w:p>
        </w:tc>
        <w:tc>
          <w:tcPr>
            <w:tcW w:w="85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专业技术岗位</w:t>
            </w:r>
          </w:p>
        </w:tc>
        <w:tc>
          <w:tcPr>
            <w:tcW w:w="1134"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数学教学</w:t>
            </w:r>
          </w:p>
        </w:tc>
        <w:tc>
          <w:tcPr>
            <w:tcW w:w="709"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2</w:t>
            </w:r>
          </w:p>
        </w:tc>
        <w:tc>
          <w:tcPr>
            <w:tcW w:w="241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全日制普通高校大学本科、学士及以上学历学位</w:t>
            </w:r>
          </w:p>
        </w:tc>
        <w:tc>
          <w:tcPr>
            <w:tcW w:w="4819" w:type="dxa"/>
            <w:tcBorders>
              <w:top w:val="nil"/>
              <w:left w:val="nil"/>
              <w:bottom w:val="single" w:color="auto" w:sz="4" w:space="0"/>
              <w:right w:val="single" w:color="auto" w:sz="4" w:space="0"/>
            </w:tcBorders>
            <w:shd w:val="clear" w:color="auto" w:fill="auto"/>
            <w:vAlign w:val="center"/>
          </w:tcPr>
          <w:p>
            <w:pPr>
              <w:widowControl/>
              <w:spacing w:line="260" w:lineRule="exact"/>
              <w:jc w:val="left"/>
              <w:rPr>
                <w:rFonts w:ascii="宋体" w:hAnsi="宋体" w:cs="宋体"/>
                <w:kern w:val="0"/>
                <w:sz w:val="20"/>
                <w:szCs w:val="20"/>
              </w:rPr>
            </w:pPr>
            <w:r>
              <w:rPr>
                <w:rFonts w:hint="eastAsia" w:ascii="宋体" w:hAnsi="宋体" w:cs="宋体"/>
                <w:kern w:val="0"/>
                <w:sz w:val="20"/>
                <w:szCs w:val="20"/>
              </w:rPr>
              <w:t>本科：数学、应用数学、数学教育、数学与应用数学。</w:t>
            </w:r>
            <w:r>
              <w:rPr>
                <w:rFonts w:hint="eastAsia" w:ascii="宋体" w:hAnsi="宋体" w:cs="宋体"/>
                <w:kern w:val="0"/>
                <w:sz w:val="20"/>
                <w:szCs w:val="20"/>
              </w:rPr>
              <w:br w:type="textWrapping"/>
            </w:r>
            <w:r>
              <w:rPr>
                <w:rFonts w:hint="eastAsia" w:ascii="宋体" w:hAnsi="宋体" w:cs="宋体"/>
                <w:kern w:val="0"/>
                <w:sz w:val="20"/>
                <w:szCs w:val="20"/>
              </w:rPr>
              <w:t>硕士：数学类、学科教学（数学）。</w:t>
            </w:r>
          </w:p>
        </w:tc>
        <w:tc>
          <w:tcPr>
            <w:tcW w:w="993"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35周岁及以下</w:t>
            </w:r>
          </w:p>
        </w:tc>
        <w:tc>
          <w:tcPr>
            <w:tcW w:w="1559"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kern w:val="0"/>
                <w:sz w:val="20"/>
                <w:szCs w:val="20"/>
              </w:rPr>
            </w:pPr>
          </w:p>
        </w:tc>
        <w:tc>
          <w:tcPr>
            <w:tcW w:w="709"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　</w:t>
            </w:r>
          </w:p>
        </w:tc>
      </w:tr>
      <w:tr>
        <w:tblPrEx>
          <w:tblLayout w:type="fixed"/>
          <w:tblCellMar>
            <w:top w:w="0" w:type="dxa"/>
            <w:left w:w="108" w:type="dxa"/>
            <w:bottom w:w="0" w:type="dxa"/>
            <w:right w:w="108" w:type="dxa"/>
          </w:tblCellMar>
        </w:tblPrEx>
        <w:trPr>
          <w:trHeight w:val="1020" w:hRule="atLeast"/>
        </w:trPr>
        <w:tc>
          <w:tcPr>
            <w:tcW w:w="660"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kern w:val="0"/>
                <w:sz w:val="20"/>
                <w:szCs w:val="20"/>
              </w:rPr>
            </w:pPr>
          </w:p>
        </w:tc>
        <w:tc>
          <w:tcPr>
            <w:tcW w:w="680"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kern w:val="0"/>
                <w:sz w:val="20"/>
                <w:szCs w:val="20"/>
              </w:rPr>
            </w:pPr>
          </w:p>
        </w:tc>
        <w:tc>
          <w:tcPr>
            <w:tcW w:w="659"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94</w:t>
            </w:r>
          </w:p>
        </w:tc>
        <w:tc>
          <w:tcPr>
            <w:tcW w:w="85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专业技术岗位</w:t>
            </w:r>
          </w:p>
        </w:tc>
        <w:tc>
          <w:tcPr>
            <w:tcW w:w="1134"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日语教学</w:t>
            </w:r>
          </w:p>
        </w:tc>
        <w:tc>
          <w:tcPr>
            <w:tcW w:w="709"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1</w:t>
            </w:r>
          </w:p>
        </w:tc>
        <w:tc>
          <w:tcPr>
            <w:tcW w:w="241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全日制普通高校大学本科、学士及以上学历学位</w:t>
            </w:r>
          </w:p>
        </w:tc>
        <w:tc>
          <w:tcPr>
            <w:tcW w:w="4819" w:type="dxa"/>
            <w:tcBorders>
              <w:top w:val="nil"/>
              <w:left w:val="nil"/>
              <w:bottom w:val="single" w:color="auto" w:sz="4" w:space="0"/>
              <w:right w:val="single" w:color="auto" w:sz="4" w:space="0"/>
            </w:tcBorders>
            <w:shd w:val="clear" w:color="auto" w:fill="auto"/>
            <w:vAlign w:val="center"/>
          </w:tcPr>
          <w:p>
            <w:pPr>
              <w:widowControl/>
              <w:spacing w:line="260" w:lineRule="exact"/>
              <w:jc w:val="left"/>
              <w:rPr>
                <w:rFonts w:ascii="宋体" w:hAnsi="宋体" w:cs="宋体"/>
                <w:kern w:val="0"/>
                <w:sz w:val="20"/>
                <w:szCs w:val="20"/>
              </w:rPr>
            </w:pPr>
            <w:r>
              <w:rPr>
                <w:rFonts w:hint="eastAsia" w:ascii="宋体" w:hAnsi="宋体" w:cs="宋体"/>
                <w:kern w:val="0"/>
                <w:sz w:val="20"/>
                <w:szCs w:val="20"/>
              </w:rPr>
              <w:t>本科：日语教育、日语、日语翻译、日语语言文学、应用日语、日语笔译。</w:t>
            </w:r>
            <w:r>
              <w:rPr>
                <w:rFonts w:hint="eastAsia" w:ascii="宋体" w:hAnsi="宋体" w:cs="宋体"/>
                <w:kern w:val="0"/>
                <w:sz w:val="20"/>
                <w:szCs w:val="20"/>
              </w:rPr>
              <w:br w:type="textWrapping"/>
            </w:r>
            <w:r>
              <w:rPr>
                <w:rFonts w:hint="eastAsia" w:ascii="宋体" w:hAnsi="宋体" w:cs="宋体"/>
                <w:kern w:val="0"/>
                <w:sz w:val="20"/>
                <w:szCs w:val="20"/>
              </w:rPr>
              <w:t>硕士：日语语言文学、日语翻译、日语笔译、学科教学（日语）。</w:t>
            </w:r>
          </w:p>
        </w:tc>
        <w:tc>
          <w:tcPr>
            <w:tcW w:w="993"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35周岁及以下</w:t>
            </w:r>
          </w:p>
        </w:tc>
        <w:tc>
          <w:tcPr>
            <w:tcW w:w="1559"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kern w:val="0"/>
                <w:sz w:val="20"/>
                <w:szCs w:val="20"/>
              </w:rPr>
            </w:pPr>
          </w:p>
        </w:tc>
        <w:tc>
          <w:tcPr>
            <w:tcW w:w="709"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　</w:t>
            </w:r>
          </w:p>
        </w:tc>
      </w:tr>
      <w:tr>
        <w:tblPrEx>
          <w:tblLayout w:type="fixed"/>
          <w:tblCellMar>
            <w:top w:w="0" w:type="dxa"/>
            <w:left w:w="108" w:type="dxa"/>
            <w:bottom w:w="0" w:type="dxa"/>
            <w:right w:w="108" w:type="dxa"/>
          </w:tblCellMar>
        </w:tblPrEx>
        <w:trPr>
          <w:trHeight w:val="765" w:hRule="atLeast"/>
        </w:trPr>
        <w:tc>
          <w:tcPr>
            <w:tcW w:w="660"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kern w:val="0"/>
                <w:sz w:val="20"/>
                <w:szCs w:val="20"/>
              </w:rPr>
            </w:pPr>
          </w:p>
        </w:tc>
        <w:tc>
          <w:tcPr>
            <w:tcW w:w="680"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kern w:val="0"/>
                <w:sz w:val="20"/>
                <w:szCs w:val="20"/>
              </w:rPr>
            </w:pPr>
          </w:p>
        </w:tc>
        <w:tc>
          <w:tcPr>
            <w:tcW w:w="659"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95</w:t>
            </w:r>
          </w:p>
        </w:tc>
        <w:tc>
          <w:tcPr>
            <w:tcW w:w="85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专业技术岗位</w:t>
            </w:r>
          </w:p>
        </w:tc>
        <w:tc>
          <w:tcPr>
            <w:tcW w:w="1134"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物理教学</w:t>
            </w:r>
          </w:p>
        </w:tc>
        <w:tc>
          <w:tcPr>
            <w:tcW w:w="709"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2</w:t>
            </w:r>
          </w:p>
        </w:tc>
        <w:tc>
          <w:tcPr>
            <w:tcW w:w="241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全日制普通高校大学本科、学士及以上学历学位</w:t>
            </w:r>
          </w:p>
        </w:tc>
        <w:tc>
          <w:tcPr>
            <w:tcW w:w="4819" w:type="dxa"/>
            <w:tcBorders>
              <w:top w:val="nil"/>
              <w:left w:val="nil"/>
              <w:bottom w:val="single" w:color="auto" w:sz="4" w:space="0"/>
              <w:right w:val="single" w:color="auto" w:sz="4" w:space="0"/>
            </w:tcBorders>
            <w:shd w:val="clear" w:color="auto" w:fill="auto"/>
            <w:vAlign w:val="center"/>
          </w:tcPr>
          <w:p>
            <w:pPr>
              <w:widowControl/>
              <w:spacing w:line="260" w:lineRule="exact"/>
              <w:jc w:val="left"/>
              <w:rPr>
                <w:rFonts w:ascii="宋体" w:hAnsi="宋体" w:cs="宋体"/>
                <w:kern w:val="0"/>
                <w:sz w:val="20"/>
                <w:szCs w:val="20"/>
              </w:rPr>
            </w:pPr>
            <w:r>
              <w:rPr>
                <w:rFonts w:hint="eastAsia" w:ascii="宋体" w:hAnsi="宋体" w:cs="宋体"/>
                <w:kern w:val="0"/>
                <w:sz w:val="20"/>
                <w:szCs w:val="20"/>
              </w:rPr>
              <w:t>本科：物理学、应用物理学、物理教育、物理、物理学教育。</w:t>
            </w:r>
            <w:r>
              <w:rPr>
                <w:rFonts w:hint="eastAsia" w:ascii="宋体" w:hAnsi="宋体" w:cs="宋体"/>
                <w:kern w:val="0"/>
                <w:sz w:val="20"/>
                <w:szCs w:val="20"/>
              </w:rPr>
              <w:br w:type="textWrapping"/>
            </w:r>
            <w:r>
              <w:rPr>
                <w:rFonts w:hint="eastAsia" w:ascii="宋体" w:hAnsi="宋体" w:cs="宋体"/>
                <w:kern w:val="0"/>
                <w:sz w:val="20"/>
                <w:szCs w:val="20"/>
              </w:rPr>
              <w:t>硕士：物理学类、学科教学（物理）。</w:t>
            </w:r>
          </w:p>
        </w:tc>
        <w:tc>
          <w:tcPr>
            <w:tcW w:w="993"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35周岁及以下</w:t>
            </w:r>
          </w:p>
        </w:tc>
        <w:tc>
          <w:tcPr>
            <w:tcW w:w="1559"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kern w:val="0"/>
                <w:sz w:val="20"/>
                <w:szCs w:val="20"/>
              </w:rPr>
            </w:pPr>
          </w:p>
        </w:tc>
        <w:tc>
          <w:tcPr>
            <w:tcW w:w="709"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　</w:t>
            </w:r>
          </w:p>
        </w:tc>
      </w:tr>
      <w:tr>
        <w:tblPrEx>
          <w:tblLayout w:type="fixed"/>
          <w:tblCellMar>
            <w:top w:w="0" w:type="dxa"/>
            <w:left w:w="108" w:type="dxa"/>
            <w:bottom w:w="0" w:type="dxa"/>
            <w:right w:w="108" w:type="dxa"/>
          </w:tblCellMar>
        </w:tblPrEx>
        <w:trPr>
          <w:trHeight w:val="870" w:hRule="atLeast"/>
        </w:trPr>
        <w:tc>
          <w:tcPr>
            <w:tcW w:w="660"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kern w:val="0"/>
                <w:sz w:val="20"/>
                <w:szCs w:val="20"/>
              </w:rPr>
            </w:pPr>
          </w:p>
        </w:tc>
        <w:tc>
          <w:tcPr>
            <w:tcW w:w="680"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kern w:val="0"/>
                <w:sz w:val="20"/>
                <w:szCs w:val="20"/>
              </w:rPr>
            </w:pPr>
          </w:p>
        </w:tc>
        <w:tc>
          <w:tcPr>
            <w:tcW w:w="659"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96</w:t>
            </w:r>
          </w:p>
        </w:tc>
        <w:tc>
          <w:tcPr>
            <w:tcW w:w="85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专业技术岗位</w:t>
            </w:r>
          </w:p>
        </w:tc>
        <w:tc>
          <w:tcPr>
            <w:tcW w:w="1134"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化学教学</w:t>
            </w:r>
          </w:p>
        </w:tc>
        <w:tc>
          <w:tcPr>
            <w:tcW w:w="709"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2</w:t>
            </w:r>
          </w:p>
        </w:tc>
        <w:tc>
          <w:tcPr>
            <w:tcW w:w="241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全日制普通高校大学本科、学士及以上学历学位</w:t>
            </w:r>
          </w:p>
        </w:tc>
        <w:tc>
          <w:tcPr>
            <w:tcW w:w="4819" w:type="dxa"/>
            <w:tcBorders>
              <w:top w:val="nil"/>
              <w:left w:val="nil"/>
              <w:bottom w:val="single" w:color="auto" w:sz="4" w:space="0"/>
              <w:right w:val="single" w:color="auto" w:sz="4" w:space="0"/>
            </w:tcBorders>
            <w:shd w:val="clear" w:color="auto" w:fill="auto"/>
            <w:vAlign w:val="center"/>
          </w:tcPr>
          <w:p>
            <w:pPr>
              <w:widowControl/>
              <w:spacing w:line="260" w:lineRule="exact"/>
              <w:jc w:val="left"/>
              <w:rPr>
                <w:rFonts w:ascii="宋体" w:hAnsi="宋体" w:cs="宋体"/>
                <w:kern w:val="0"/>
                <w:sz w:val="20"/>
                <w:szCs w:val="20"/>
              </w:rPr>
            </w:pPr>
            <w:r>
              <w:rPr>
                <w:rFonts w:hint="eastAsia" w:ascii="宋体" w:hAnsi="宋体" w:cs="宋体"/>
                <w:kern w:val="0"/>
                <w:sz w:val="20"/>
                <w:szCs w:val="20"/>
              </w:rPr>
              <w:t>本科：化学教育、化学、应用化学、化学生物学、分子科学与工程。</w:t>
            </w:r>
            <w:r>
              <w:rPr>
                <w:rFonts w:hint="eastAsia" w:ascii="宋体" w:hAnsi="宋体" w:cs="宋体"/>
                <w:kern w:val="0"/>
                <w:sz w:val="20"/>
                <w:szCs w:val="20"/>
              </w:rPr>
              <w:br w:type="textWrapping"/>
            </w:r>
            <w:r>
              <w:rPr>
                <w:rFonts w:hint="eastAsia" w:ascii="宋体" w:hAnsi="宋体" w:cs="宋体"/>
                <w:kern w:val="0"/>
                <w:sz w:val="20"/>
                <w:szCs w:val="20"/>
              </w:rPr>
              <w:t>硕士：化学类、学科教学（化学）。</w:t>
            </w:r>
          </w:p>
        </w:tc>
        <w:tc>
          <w:tcPr>
            <w:tcW w:w="993"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35周岁及以下</w:t>
            </w:r>
          </w:p>
        </w:tc>
        <w:tc>
          <w:tcPr>
            <w:tcW w:w="1559"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kern w:val="0"/>
                <w:sz w:val="20"/>
                <w:szCs w:val="20"/>
              </w:rPr>
            </w:pPr>
          </w:p>
        </w:tc>
        <w:tc>
          <w:tcPr>
            <w:tcW w:w="709"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　</w:t>
            </w:r>
          </w:p>
        </w:tc>
      </w:tr>
      <w:tr>
        <w:tblPrEx>
          <w:tblLayout w:type="fixed"/>
          <w:tblCellMar>
            <w:top w:w="0" w:type="dxa"/>
            <w:left w:w="108" w:type="dxa"/>
            <w:bottom w:w="0" w:type="dxa"/>
            <w:right w:w="108" w:type="dxa"/>
          </w:tblCellMar>
        </w:tblPrEx>
        <w:trPr>
          <w:trHeight w:val="885" w:hRule="atLeast"/>
        </w:trPr>
        <w:tc>
          <w:tcPr>
            <w:tcW w:w="660"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kern w:val="0"/>
                <w:sz w:val="20"/>
                <w:szCs w:val="20"/>
              </w:rPr>
            </w:pPr>
          </w:p>
        </w:tc>
        <w:tc>
          <w:tcPr>
            <w:tcW w:w="680"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kern w:val="0"/>
                <w:sz w:val="20"/>
                <w:szCs w:val="20"/>
              </w:rPr>
            </w:pPr>
          </w:p>
        </w:tc>
        <w:tc>
          <w:tcPr>
            <w:tcW w:w="659"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97</w:t>
            </w:r>
          </w:p>
        </w:tc>
        <w:tc>
          <w:tcPr>
            <w:tcW w:w="85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专业技术岗位</w:t>
            </w:r>
          </w:p>
        </w:tc>
        <w:tc>
          <w:tcPr>
            <w:tcW w:w="1134"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生物教学</w:t>
            </w:r>
          </w:p>
        </w:tc>
        <w:tc>
          <w:tcPr>
            <w:tcW w:w="709"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2</w:t>
            </w:r>
          </w:p>
        </w:tc>
        <w:tc>
          <w:tcPr>
            <w:tcW w:w="241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全日制普通高校大学本科、学士及以上学历学位</w:t>
            </w:r>
          </w:p>
        </w:tc>
        <w:tc>
          <w:tcPr>
            <w:tcW w:w="4819" w:type="dxa"/>
            <w:tcBorders>
              <w:top w:val="nil"/>
              <w:left w:val="nil"/>
              <w:bottom w:val="single" w:color="auto" w:sz="4" w:space="0"/>
              <w:right w:val="single" w:color="auto" w:sz="4" w:space="0"/>
            </w:tcBorders>
            <w:shd w:val="clear" w:color="auto" w:fill="auto"/>
            <w:vAlign w:val="center"/>
          </w:tcPr>
          <w:p>
            <w:pPr>
              <w:widowControl/>
              <w:spacing w:line="260" w:lineRule="exact"/>
              <w:jc w:val="left"/>
              <w:rPr>
                <w:rFonts w:ascii="宋体" w:hAnsi="宋体" w:cs="宋体"/>
                <w:kern w:val="0"/>
                <w:sz w:val="20"/>
                <w:szCs w:val="20"/>
              </w:rPr>
            </w:pPr>
            <w:r>
              <w:rPr>
                <w:rFonts w:hint="eastAsia" w:ascii="宋体" w:hAnsi="宋体" w:cs="宋体"/>
                <w:kern w:val="0"/>
                <w:sz w:val="20"/>
                <w:szCs w:val="20"/>
              </w:rPr>
              <w:t>本科：生物学、生物科学、生物教育、生物技术、生物信息技术、生物科学与生物技术、生物信息学。</w:t>
            </w:r>
            <w:r>
              <w:rPr>
                <w:rFonts w:hint="eastAsia" w:ascii="宋体" w:hAnsi="宋体" w:cs="宋体"/>
                <w:kern w:val="0"/>
                <w:sz w:val="20"/>
                <w:szCs w:val="20"/>
              </w:rPr>
              <w:br w:type="textWrapping"/>
            </w:r>
            <w:r>
              <w:rPr>
                <w:rFonts w:hint="eastAsia" w:ascii="宋体" w:hAnsi="宋体" w:cs="宋体"/>
                <w:kern w:val="0"/>
                <w:sz w:val="20"/>
                <w:szCs w:val="20"/>
              </w:rPr>
              <w:t>硕士：生物学类、学科教学（生物）。</w:t>
            </w:r>
          </w:p>
        </w:tc>
        <w:tc>
          <w:tcPr>
            <w:tcW w:w="993"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35周岁及以下</w:t>
            </w:r>
          </w:p>
        </w:tc>
        <w:tc>
          <w:tcPr>
            <w:tcW w:w="1559"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kern w:val="0"/>
                <w:sz w:val="20"/>
                <w:szCs w:val="20"/>
              </w:rPr>
            </w:pPr>
          </w:p>
        </w:tc>
        <w:tc>
          <w:tcPr>
            <w:tcW w:w="709"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　</w:t>
            </w:r>
          </w:p>
        </w:tc>
      </w:tr>
      <w:tr>
        <w:tblPrEx>
          <w:tblLayout w:type="fixed"/>
          <w:tblCellMar>
            <w:top w:w="0" w:type="dxa"/>
            <w:left w:w="108" w:type="dxa"/>
            <w:bottom w:w="0" w:type="dxa"/>
            <w:right w:w="108" w:type="dxa"/>
          </w:tblCellMar>
        </w:tblPrEx>
        <w:trPr>
          <w:trHeight w:val="675" w:hRule="atLeast"/>
        </w:trPr>
        <w:tc>
          <w:tcPr>
            <w:tcW w:w="660"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kern w:val="0"/>
                <w:sz w:val="20"/>
                <w:szCs w:val="20"/>
              </w:rPr>
            </w:pPr>
          </w:p>
        </w:tc>
        <w:tc>
          <w:tcPr>
            <w:tcW w:w="680"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kern w:val="0"/>
                <w:sz w:val="20"/>
                <w:szCs w:val="20"/>
              </w:rPr>
            </w:pPr>
          </w:p>
        </w:tc>
        <w:tc>
          <w:tcPr>
            <w:tcW w:w="659"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98</w:t>
            </w:r>
          </w:p>
        </w:tc>
        <w:tc>
          <w:tcPr>
            <w:tcW w:w="85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专业技术岗位</w:t>
            </w:r>
          </w:p>
        </w:tc>
        <w:tc>
          <w:tcPr>
            <w:tcW w:w="1134"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政治教学</w:t>
            </w:r>
          </w:p>
        </w:tc>
        <w:tc>
          <w:tcPr>
            <w:tcW w:w="709"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2</w:t>
            </w:r>
          </w:p>
        </w:tc>
        <w:tc>
          <w:tcPr>
            <w:tcW w:w="241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全日制普通高校大学本科、学士及以上学历学位</w:t>
            </w:r>
          </w:p>
        </w:tc>
        <w:tc>
          <w:tcPr>
            <w:tcW w:w="4819" w:type="dxa"/>
            <w:tcBorders>
              <w:top w:val="nil"/>
              <w:left w:val="nil"/>
              <w:bottom w:val="single" w:color="auto" w:sz="4" w:space="0"/>
              <w:right w:val="single" w:color="auto" w:sz="4" w:space="0"/>
            </w:tcBorders>
            <w:shd w:val="clear" w:color="auto" w:fill="auto"/>
            <w:vAlign w:val="center"/>
          </w:tcPr>
          <w:p>
            <w:pPr>
              <w:widowControl/>
              <w:spacing w:line="260" w:lineRule="exact"/>
              <w:jc w:val="left"/>
              <w:rPr>
                <w:rFonts w:ascii="宋体" w:hAnsi="宋体" w:cs="宋体"/>
                <w:kern w:val="0"/>
                <w:sz w:val="20"/>
                <w:szCs w:val="20"/>
              </w:rPr>
            </w:pPr>
            <w:r>
              <w:rPr>
                <w:rFonts w:hint="eastAsia" w:ascii="宋体" w:hAnsi="宋体" w:cs="宋体"/>
                <w:kern w:val="0"/>
                <w:sz w:val="20"/>
                <w:szCs w:val="20"/>
              </w:rPr>
              <w:t>本科：思想政治教育、政治学与行政学、哲学。</w:t>
            </w:r>
            <w:r>
              <w:rPr>
                <w:rFonts w:hint="eastAsia" w:ascii="宋体" w:hAnsi="宋体" w:cs="宋体"/>
                <w:kern w:val="0"/>
                <w:sz w:val="20"/>
                <w:szCs w:val="20"/>
              </w:rPr>
              <w:br w:type="textWrapping"/>
            </w:r>
            <w:r>
              <w:rPr>
                <w:rFonts w:hint="eastAsia" w:ascii="宋体" w:hAnsi="宋体" w:cs="宋体"/>
                <w:kern w:val="0"/>
                <w:sz w:val="20"/>
                <w:szCs w:val="20"/>
              </w:rPr>
              <w:t>硕士：经济学类、哲学类、学科教学（思政）。</w:t>
            </w:r>
          </w:p>
        </w:tc>
        <w:tc>
          <w:tcPr>
            <w:tcW w:w="993"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35周岁及以下</w:t>
            </w:r>
          </w:p>
        </w:tc>
        <w:tc>
          <w:tcPr>
            <w:tcW w:w="1559"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kern w:val="0"/>
                <w:sz w:val="20"/>
                <w:szCs w:val="20"/>
              </w:rPr>
            </w:pPr>
          </w:p>
        </w:tc>
        <w:tc>
          <w:tcPr>
            <w:tcW w:w="709"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　</w:t>
            </w:r>
          </w:p>
        </w:tc>
      </w:tr>
      <w:tr>
        <w:tblPrEx>
          <w:tblLayout w:type="fixed"/>
          <w:tblCellMar>
            <w:top w:w="0" w:type="dxa"/>
            <w:left w:w="108" w:type="dxa"/>
            <w:bottom w:w="0" w:type="dxa"/>
            <w:right w:w="108" w:type="dxa"/>
          </w:tblCellMar>
        </w:tblPrEx>
        <w:trPr>
          <w:trHeight w:val="810" w:hRule="atLeast"/>
        </w:trPr>
        <w:tc>
          <w:tcPr>
            <w:tcW w:w="660"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kern w:val="0"/>
                <w:sz w:val="20"/>
                <w:szCs w:val="20"/>
              </w:rPr>
            </w:pPr>
          </w:p>
        </w:tc>
        <w:tc>
          <w:tcPr>
            <w:tcW w:w="680"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kern w:val="0"/>
                <w:sz w:val="20"/>
                <w:szCs w:val="20"/>
              </w:rPr>
            </w:pPr>
          </w:p>
        </w:tc>
        <w:tc>
          <w:tcPr>
            <w:tcW w:w="659"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99</w:t>
            </w:r>
          </w:p>
        </w:tc>
        <w:tc>
          <w:tcPr>
            <w:tcW w:w="85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专业技术岗位</w:t>
            </w:r>
          </w:p>
        </w:tc>
        <w:tc>
          <w:tcPr>
            <w:tcW w:w="1134"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地理教学</w:t>
            </w:r>
          </w:p>
        </w:tc>
        <w:tc>
          <w:tcPr>
            <w:tcW w:w="709"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1</w:t>
            </w:r>
          </w:p>
        </w:tc>
        <w:tc>
          <w:tcPr>
            <w:tcW w:w="241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全日制普通高校大学本科、学士及以上学历学位</w:t>
            </w:r>
          </w:p>
        </w:tc>
        <w:tc>
          <w:tcPr>
            <w:tcW w:w="4819" w:type="dxa"/>
            <w:tcBorders>
              <w:top w:val="nil"/>
              <w:left w:val="nil"/>
              <w:bottom w:val="single" w:color="auto" w:sz="4" w:space="0"/>
              <w:right w:val="single" w:color="auto" w:sz="4" w:space="0"/>
            </w:tcBorders>
            <w:shd w:val="clear" w:color="auto" w:fill="auto"/>
            <w:vAlign w:val="center"/>
          </w:tcPr>
          <w:p>
            <w:pPr>
              <w:widowControl/>
              <w:spacing w:line="260" w:lineRule="exact"/>
              <w:jc w:val="left"/>
              <w:rPr>
                <w:rFonts w:ascii="宋体" w:hAnsi="宋体" w:cs="宋体"/>
                <w:kern w:val="0"/>
                <w:sz w:val="20"/>
                <w:szCs w:val="20"/>
              </w:rPr>
            </w:pPr>
            <w:r>
              <w:rPr>
                <w:rFonts w:hint="eastAsia" w:ascii="宋体" w:hAnsi="宋体" w:cs="宋体"/>
                <w:kern w:val="0"/>
                <w:sz w:val="20"/>
                <w:szCs w:val="20"/>
              </w:rPr>
              <w:t>本科：地理学、自然地理、地理科学、地理教育。</w:t>
            </w:r>
            <w:r>
              <w:rPr>
                <w:rFonts w:hint="eastAsia" w:ascii="宋体" w:hAnsi="宋体" w:cs="宋体"/>
                <w:kern w:val="0"/>
                <w:sz w:val="20"/>
                <w:szCs w:val="20"/>
              </w:rPr>
              <w:br w:type="textWrapping"/>
            </w:r>
            <w:r>
              <w:rPr>
                <w:rFonts w:hint="eastAsia" w:ascii="宋体" w:hAnsi="宋体" w:cs="宋体"/>
                <w:kern w:val="0"/>
                <w:sz w:val="20"/>
                <w:szCs w:val="20"/>
              </w:rPr>
              <w:t>硕士：地理学类、学科教学（地理）。</w:t>
            </w:r>
          </w:p>
        </w:tc>
        <w:tc>
          <w:tcPr>
            <w:tcW w:w="993"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35周岁及以下</w:t>
            </w:r>
          </w:p>
        </w:tc>
        <w:tc>
          <w:tcPr>
            <w:tcW w:w="1559"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kern w:val="0"/>
                <w:sz w:val="20"/>
                <w:szCs w:val="20"/>
              </w:rPr>
            </w:pPr>
          </w:p>
        </w:tc>
        <w:tc>
          <w:tcPr>
            <w:tcW w:w="709"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　</w:t>
            </w:r>
          </w:p>
        </w:tc>
      </w:tr>
      <w:tr>
        <w:tblPrEx>
          <w:tblLayout w:type="fixed"/>
          <w:tblCellMar>
            <w:top w:w="0" w:type="dxa"/>
            <w:left w:w="108" w:type="dxa"/>
            <w:bottom w:w="0" w:type="dxa"/>
            <w:right w:w="108" w:type="dxa"/>
          </w:tblCellMar>
        </w:tblPrEx>
        <w:trPr>
          <w:trHeight w:val="1035" w:hRule="atLeast"/>
        </w:trPr>
        <w:tc>
          <w:tcPr>
            <w:tcW w:w="660"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kern w:val="0"/>
                <w:sz w:val="20"/>
                <w:szCs w:val="20"/>
              </w:rPr>
            </w:pPr>
          </w:p>
        </w:tc>
        <w:tc>
          <w:tcPr>
            <w:tcW w:w="680"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宋体" w:hAnsi="宋体" w:cs="宋体"/>
                <w:kern w:val="0"/>
                <w:sz w:val="20"/>
                <w:szCs w:val="20"/>
              </w:rPr>
            </w:pPr>
          </w:p>
        </w:tc>
        <w:tc>
          <w:tcPr>
            <w:tcW w:w="659"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100</w:t>
            </w:r>
          </w:p>
        </w:tc>
        <w:tc>
          <w:tcPr>
            <w:tcW w:w="85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专业技术岗位</w:t>
            </w:r>
          </w:p>
        </w:tc>
        <w:tc>
          <w:tcPr>
            <w:tcW w:w="1134"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心理学教师</w:t>
            </w:r>
          </w:p>
        </w:tc>
        <w:tc>
          <w:tcPr>
            <w:tcW w:w="709"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1</w:t>
            </w:r>
          </w:p>
        </w:tc>
        <w:tc>
          <w:tcPr>
            <w:tcW w:w="241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全日制普通高校大学本科、学士及以上学历学位</w:t>
            </w:r>
          </w:p>
        </w:tc>
        <w:tc>
          <w:tcPr>
            <w:tcW w:w="4819"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心理学类</w:t>
            </w:r>
          </w:p>
        </w:tc>
        <w:tc>
          <w:tcPr>
            <w:tcW w:w="993"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35周岁及以下</w:t>
            </w:r>
          </w:p>
        </w:tc>
        <w:tc>
          <w:tcPr>
            <w:tcW w:w="1559"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本科限“985”或“211”工程院校毕业生</w:t>
            </w:r>
          </w:p>
        </w:tc>
        <w:tc>
          <w:tcPr>
            <w:tcW w:w="709"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宋体" w:hAnsi="宋体" w:cs="宋体"/>
                <w:kern w:val="0"/>
                <w:sz w:val="20"/>
                <w:szCs w:val="20"/>
              </w:rPr>
            </w:pPr>
            <w:r>
              <w:rPr>
                <w:rFonts w:hint="eastAsia" w:ascii="宋体" w:hAnsi="宋体" w:cs="宋体"/>
                <w:kern w:val="0"/>
                <w:sz w:val="20"/>
                <w:szCs w:val="20"/>
              </w:rPr>
              <w:t>　</w:t>
            </w:r>
          </w:p>
        </w:tc>
      </w:tr>
      <w:tr>
        <w:tblPrEx>
          <w:tblLayout w:type="fixed"/>
          <w:tblCellMar>
            <w:top w:w="0" w:type="dxa"/>
            <w:left w:w="108" w:type="dxa"/>
            <w:bottom w:w="0" w:type="dxa"/>
            <w:right w:w="108" w:type="dxa"/>
          </w:tblCellMar>
        </w:tblPrEx>
        <w:trPr>
          <w:trHeight w:val="420" w:hRule="atLeast"/>
        </w:trPr>
        <w:tc>
          <w:tcPr>
            <w:tcW w:w="660" w:type="dxa"/>
            <w:tcBorders>
              <w:top w:val="nil"/>
              <w:left w:val="nil"/>
              <w:bottom w:val="nil"/>
              <w:right w:val="nil"/>
            </w:tcBorders>
            <w:shd w:val="clear" w:color="auto" w:fill="auto"/>
            <w:vAlign w:val="center"/>
          </w:tcPr>
          <w:p>
            <w:pPr>
              <w:widowControl/>
              <w:jc w:val="center"/>
              <w:rPr>
                <w:rFonts w:ascii="宋体" w:hAnsi="宋体" w:cs="宋体"/>
                <w:kern w:val="0"/>
                <w:sz w:val="20"/>
                <w:szCs w:val="20"/>
              </w:rPr>
            </w:pPr>
          </w:p>
        </w:tc>
        <w:tc>
          <w:tcPr>
            <w:tcW w:w="680" w:type="dxa"/>
            <w:tcBorders>
              <w:top w:val="nil"/>
              <w:left w:val="nil"/>
              <w:bottom w:val="nil"/>
              <w:right w:val="nil"/>
            </w:tcBorders>
            <w:shd w:val="clear" w:color="auto" w:fill="auto"/>
            <w:vAlign w:val="center"/>
          </w:tcPr>
          <w:p>
            <w:pPr>
              <w:widowControl/>
              <w:jc w:val="center"/>
              <w:rPr>
                <w:rFonts w:ascii="宋体" w:hAnsi="宋体" w:cs="宋体"/>
                <w:kern w:val="0"/>
                <w:sz w:val="20"/>
                <w:szCs w:val="20"/>
              </w:rPr>
            </w:pPr>
          </w:p>
        </w:tc>
        <w:tc>
          <w:tcPr>
            <w:tcW w:w="659" w:type="dxa"/>
            <w:tcBorders>
              <w:top w:val="nil"/>
              <w:left w:val="nil"/>
              <w:bottom w:val="nil"/>
              <w:right w:val="nil"/>
            </w:tcBorders>
            <w:shd w:val="clear" w:color="auto" w:fill="auto"/>
            <w:vAlign w:val="center"/>
          </w:tcPr>
          <w:p>
            <w:pPr>
              <w:widowControl/>
              <w:jc w:val="center"/>
              <w:rPr>
                <w:rFonts w:ascii="宋体" w:hAnsi="宋体" w:cs="宋体"/>
                <w:kern w:val="0"/>
                <w:sz w:val="20"/>
                <w:szCs w:val="20"/>
              </w:rPr>
            </w:pPr>
          </w:p>
        </w:tc>
        <w:tc>
          <w:tcPr>
            <w:tcW w:w="850" w:type="dxa"/>
            <w:tcBorders>
              <w:top w:val="nil"/>
              <w:left w:val="nil"/>
              <w:bottom w:val="nil"/>
              <w:right w:val="nil"/>
            </w:tcBorders>
            <w:shd w:val="clear" w:color="auto" w:fill="auto"/>
            <w:vAlign w:val="center"/>
          </w:tcPr>
          <w:p>
            <w:pPr>
              <w:widowControl/>
              <w:jc w:val="center"/>
              <w:rPr>
                <w:rFonts w:ascii="宋体" w:hAnsi="宋体" w:cs="宋体"/>
                <w:kern w:val="0"/>
                <w:sz w:val="20"/>
                <w:szCs w:val="20"/>
              </w:rPr>
            </w:pPr>
          </w:p>
        </w:tc>
        <w:tc>
          <w:tcPr>
            <w:tcW w:w="1134" w:type="dxa"/>
            <w:tcBorders>
              <w:top w:val="nil"/>
              <w:left w:val="nil"/>
              <w:bottom w:val="nil"/>
              <w:right w:val="nil"/>
            </w:tcBorders>
            <w:shd w:val="clear" w:color="auto" w:fill="auto"/>
            <w:vAlign w:val="center"/>
          </w:tcPr>
          <w:p>
            <w:pPr>
              <w:widowControl/>
              <w:jc w:val="center"/>
              <w:rPr>
                <w:rFonts w:ascii="宋体" w:hAnsi="宋体" w:cs="宋体"/>
                <w:b/>
                <w:bCs/>
                <w:kern w:val="0"/>
                <w:sz w:val="20"/>
                <w:szCs w:val="20"/>
              </w:rPr>
            </w:pPr>
            <w:r>
              <w:rPr>
                <w:rFonts w:hint="eastAsia" w:ascii="宋体" w:hAnsi="宋体" w:cs="宋体"/>
                <w:b/>
                <w:bCs/>
                <w:kern w:val="0"/>
                <w:sz w:val="20"/>
                <w:szCs w:val="20"/>
              </w:rPr>
              <w:t>合计</w:t>
            </w:r>
          </w:p>
        </w:tc>
        <w:tc>
          <w:tcPr>
            <w:tcW w:w="709" w:type="dxa"/>
            <w:tcBorders>
              <w:top w:val="nil"/>
              <w:left w:val="nil"/>
              <w:bottom w:val="nil"/>
              <w:right w:val="nil"/>
            </w:tcBorders>
            <w:shd w:val="clear" w:color="auto" w:fill="auto"/>
            <w:vAlign w:val="center"/>
          </w:tcPr>
          <w:p>
            <w:pPr>
              <w:widowControl/>
              <w:jc w:val="center"/>
              <w:rPr>
                <w:rFonts w:ascii="宋体" w:hAnsi="宋体" w:cs="宋体"/>
                <w:b/>
                <w:bCs/>
                <w:kern w:val="0"/>
                <w:sz w:val="20"/>
                <w:szCs w:val="20"/>
              </w:rPr>
            </w:pPr>
            <w:r>
              <w:rPr>
                <w:rFonts w:hint="eastAsia" w:ascii="宋体" w:hAnsi="宋体" w:cs="宋体"/>
                <w:b/>
                <w:bCs/>
                <w:kern w:val="0"/>
                <w:sz w:val="20"/>
                <w:szCs w:val="20"/>
              </w:rPr>
              <w:t>15</w:t>
            </w:r>
          </w:p>
        </w:tc>
        <w:tc>
          <w:tcPr>
            <w:tcW w:w="2410" w:type="dxa"/>
            <w:tcBorders>
              <w:top w:val="nil"/>
              <w:left w:val="nil"/>
              <w:bottom w:val="nil"/>
              <w:right w:val="nil"/>
            </w:tcBorders>
            <w:shd w:val="clear" w:color="auto" w:fill="auto"/>
            <w:vAlign w:val="center"/>
          </w:tcPr>
          <w:p>
            <w:pPr>
              <w:widowControl/>
              <w:jc w:val="center"/>
              <w:rPr>
                <w:rFonts w:ascii="宋体" w:hAnsi="宋体" w:cs="宋体"/>
                <w:kern w:val="0"/>
                <w:sz w:val="20"/>
                <w:szCs w:val="20"/>
              </w:rPr>
            </w:pPr>
          </w:p>
        </w:tc>
        <w:tc>
          <w:tcPr>
            <w:tcW w:w="4819" w:type="dxa"/>
            <w:tcBorders>
              <w:top w:val="nil"/>
              <w:left w:val="nil"/>
              <w:bottom w:val="nil"/>
              <w:right w:val="nil"/>
            </w:tcBorders>
            <w:shd w:val="clear" w:color="auto" w:fill="auto"/>
            <w:vAlign w:val="center"/>
          </w:tcPr>
          <w:p>
            <w:pPr>
              <w:widowControl/>
              <w:jc w:val="center"/>
              <w:rPr>
                <w:rFonts w:ascii="宋体" w:hAnsi="宋体" w:cs="宋体"/>
                <w:kern w:val="0"/>
                <w:sz w:val="20"/>
                <w:szCs w:val="20"/>
              </w:rPr>
            </w:pPr>
          </w:p>
        </w:tc>
        <w:tc>
          <w:tcPr>
            <w:tcW w:w="993" w:type="dxa"/>
            <w:tcBorders>
              <w:top w:val="nil"/>
              <w:left w:val="nil"/>
              <w:bottom w:val="nil"/>
              <w:right w:val="nil"/>
            </w:tcBorders>
            <w:shd w:val="clear" w:color="auto" w:fill="auto"/>
            <w:vAlign w:val="center"/>
          </w:tcPr>
          <w:p>
            <w:pPr>
              <w:widowControl/>
              <w:jc w:val="center"/>
              <w:rPr>
                <w:rFonts w:ascii="宋体" w:hAnsi="宋体" w:cs="宋体"/>
                <w:kern w:val="0"/>
                <w:sz w:val="20"/>
                <w:szCs w:val="20"/>
              </w:rPr>
            </w:pPr>
          </w:p>
        </w:tc>
        <w:tc>
          <w:tcPr>
            <w:tcW w:w="1559" w:type="dxa"/>
            <w:tcBorders>
              <w:top w:val="nil"/>
              <w:left w:val="nil"/>
              <w:bottom w:val="nil"/>
              <w:right w:val="nil"/>
            </w:tcBorders>
            <w:shd w:val="clear" w:color="auto" w:fill="auto"/>
            <w:vAlign w:val="center"/>
          </w:tcPr>
          <w:p>
            <w:pPr>
              <w:widowControl/>
              <w:jc w:val="center"/>
              <w:rPr>
                <w:rFonts w:ascii="宋体" w:hAnsi="宋体" w:cs="宋体"/>
                <w:kern w:val="0"/>
                <w:sz w:val="20"/>
                <w:szCs w:val="20"/>
              </w:rPr>
            </w:pPr>
          </w:p>
        </w:tc>
        <w:tc>
          <w:tcPr>
            <w:tcW w:w="709" w:type="dxa"/>
            <w:tcBorders>
              <w:top w:val="nil"/>
              <w:left w:val="nil"/>
              <w:bottom w:val="nil"/>
              <w:right w:val="nil"/>
            </w:tcBorders>
            <w:shd w:val="clear" w:color="auto" w:fill="auto"/>
            <w:vAlign w:val="center"/>
          </w:tcPr>
          <w:p>
            <w:pPr>
              <w:widowControl/>
              <w:jc w:val="center"/>
              <w:rPr>
                <w:rFonts w:ascii="宋体" w:hAnsi="宋体" w:cs="宋体"/>
                <w:kern w:val="0"/>
                <w:sz w:val="20"/>
                <w:szCs w:val="20"/>
              </w:rPr>
            </w:pPr>
          </w:p>
        </w:tc>
      </w:tr>
    </w:tbl>
    <w:p>
      <w:pPr>
        <w:spacing w:line="160" w:lineRule="exact"/>
        <w:jc w:val="left"/>
        <w:rPr>
          <w:rFonts w:hint="eastAsia" w:ascii="黑体" w:hAnsi="黑体" w:eastAsia="黑体" w:cs="宋体"/>
          <w:kern w:val="0"/>
          <w:sz w:val="16"/>
          <w:szCs w:val="16"/>
        </w:rPr>
      </w:pPr>
    </w:p>
    <w:p>
      <w:bookmarkStart w:id="0" w:name="_GoBack"/>
      <w:bookmarkEnd w:id="0"/>
    </w:p>
    <w:sectPr>
      <w:pgSz w:w="16838" w:h="11906" w:orient="landscape"/>
      <w:pgMar w:top="426" w:right="426" w:bottom="284" w:left="70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仿宋">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7B66B1"/>
    <w:rsid w:val="047B66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Office_10.1.0.6876_F1E327BC-269C-435d-A152-05C5408002CA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2017-10-24T07:53:00Z</dcterms:created>
  <dc:creator>Administrator</dc:creator>
  <cp:lastModifiedBy>Administrator</cp:lastModifiedBy>
  <dcterms:modified xsi:type="dcterms:W3CDTF">2017-10-24T07:53:51Z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