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368" w:lineRule="atLeast"/>
        <w:ind w:left="0" w:right="0" w:firstLine="0"/>
        <w:jc w:val="center"/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0"/>
          <w:szCs w:val="30"/>
        </w:rPr>
      </w:pPr>
      <w:r>
        <w:rPr>
          <w:rStyle w:val="4"/>
          <w:rFonts w:hint="eastAsia" w:ascii="黑体" w:hAnsi="黑体" w:eastAsia="黑体" w:cs="黑体"/>
          <w:i w:val="0"/>
          <w:caps w:val="0"/>
          <w:color w:val="000000"/>
          <w:spacing w:val="0"/>
          <w:sz w:val="30"/>
          <w:szCs w:val="30"/>
        </w:rPr>
        <w:t>祁阳县教育局</w:t>
      </w:r>
      <w:r>
        <w:rPr>
          <w:rStyle w:val="4"/>
          <w:rFonts w:hint="eastAsia" w:ascii="黑体" w:hAnsi="黑体" w:eastAsia="黑体" w:cs="黑体"/>
          <w:i w:val="0"/>
          <w:caps w:val="0"/>
          <w:color w:val="000000"/>
          <w:spacing w:val="0"/>
          <w:sz w:val="30"/>
          <w:szCs w:val="30"/>
        </w:rPr>
        <w:t>招聘岗位</w:t>
      </w:r>
    </w:p>
    <w:tbl>
      <w:tblPr>
        <w:tblW w:w="86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2"/>
        <w:gridCol w:w="753"/>
        <w:gridCol w:w="1262"/>
        <w:gridCol w:w="1265"/>
        <w:gridCol w:w="2509"/>
        <w:gridCol w:w="1022"/>
        <w:gridCol w:w="5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625" w:type="dxa"/>
            <w:gridSpan w:val="7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祁阳县2018年公开引进教师职位表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62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753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招聘职位</w:t>
            </w:r>
          </w:p>
        </w:tc>
        <w:tc>
          <w:tcPr>
            <w:tcW w:w="1262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  名额</w:t>
            </w:r>
          </w:p>
        </w:tc>
        <w:tc>
          <w:tcPr>
            <w:tcW w:w="4796" w:type="dxa"/>
            <w:gridSpan w:val="3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招聘条件</w:t>
            </w:r>
          </w:p>
        </w:tc>
        <w:tc>
          <w:tcPr>
            <w:tcW w:w="552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专业条件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学历及其他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55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62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祁阳一中（7名）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政治学类、哲学类</w:t>
            </w:r>
          </w:p>
        </w:tc>
        <w:tc>
          <w:tcPr>
            <w:tcW w:w="2509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原“211”“985”普高全日制师范教育类本科及以上毕业生；或师范教育类硕士、博士研究生（非师范教育类专业，第一学历必须为普高全日制师范教育类二批本科以上）。取得相应岗位高中教师资格证。</w:t>
            </w:r>
          </w:p>
        </w:tc>
        <w:tc>
          <w:tcPr>
            <w:tcW w:w="1022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本科毕业生30岁以下（即1988年1月1日以后出生）硕士研究生35岁以下，博士研究生45岁以下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化学教师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化学类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生物学类、生物科学类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艺术类（音乐、舞蹈方向）</w:t>
            </w:r>
          </w:p>
        </w:tc>
        <w:tc>
          <w:tcPr>
            <w:tcW w:w="2509" w:type="dxa"/>
            <w:vMerge w:val="restart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原“211”“985”普高全日制本科及以上毕业生；或师范教育类硕士、博士研究生（非师范教育类专业，第一学历必须为普高全日制二批本科以上）。取得相应岗位高中教师资格证。</w:t>
            </w: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美术学、绘画、中国画、雕塑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体育学类</w:t>
            </w:r>
          </w:p>
        </w:tc>
        <w:tc>
          <w:tcPr>
            <w:tcW w:w="2509" w:type="dxa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原“211”“985”普高全日制本科及以上毕业生；或师范教育类硕士、博士研究生（非师范教育类专业，第一学历必须为普高全日制二批本科以上）。取得高中体育教师资格证或本专业国家一级及以上裁判员资格。</w:t>
            </w: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祁阳二中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  （18名）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政治学类、哲学类</w:t>
            </w:r>
          </w:p>
        </w:tc>
        <w:tc>
          <w:tcPr>
            <w:tcW w:w="2509" w:type="dxa"/>
            <w:vMerge w:val="restart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原“211”“985”普高全日制师范教育类本科及以上毕业生；或师范教育类硕士、博士研究生（非师范教育类专业，第一学历必须为普高全日制师范教育类二批本科以上）。取得相应岗位高中教师资格证。</w:t>
            </w: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汉语言文学类（中国语言文学类）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物理学类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化学教师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化学类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生物学类、生物科学类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地理学类、地理科学类、人文教育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62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祁阳四中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  （24名）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汉语言文学类（中国语言文学类）</w:t>
            </w:r>
          </w:p>
        </w:tc>
        <w:tc>
          <w:tcPr>
            <w:tcW w:w="2509" w:type="dxa"/>
            <w:vMerge w:val="restart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原“211”“985”普高全日制师范教育类本科及以上毕业生；或师范教育类硕士、博士研究生（非师范教育类专业，第一学历必须为普高全日制师范教育类二批本科以上）。取得相应岗位高中教师资格证。</w:t>
            </w:r>
          </w:p>
        </w:tc>
        <w:tc>
          <w:tcPr>
            <w:tcW w:w="1022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本科毕业生30岁以下（即1988年1月1日以后出生）硕士研究生35岁以下，博士研究生45岁以下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物理学类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化学教师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化学类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生物学类、生物科学类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地理学类、地理科学类、人文教育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体育学类</w:t>
            </w:r>
          </w:p>
        </w:tc>
        <w:tc>
          <w:tcPr>
            <w:tcW w:w="2509" w:type="dxa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原“211”“985”普高全日制本科及以上毕业生；或师范教育类硕士、博士研究生（非师范教育类专业，第一学历必须为普高全日制二批本科以上）。取得高中体育教师资格证或本专业国家一级及以上裁判员资格。</w:t>
            </w: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祁阳职业中专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  （30名）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汉语言文学类（中国语言文学类）</w:t>
            </w:r>
          </w:p>
        </w:tc>
        <w:tc>
          <w:tcPr>
            <w:tcW w:w="2509" w:type="dxa"/>
            <w:vMerge w:val="restart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原“211”“985”普高全日制师范教育类本科及以上毕业生；或师范教育类硕士、博士研究生（非师范教育类专业，第一学历必须为普高全日制师范教育类二批本科以上）。取得相应岗位高中教师资格证。</w:t>
            </w: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电子应用技术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电子类</w:t>
            </w:r>
          </w:p>
        </w:tc>
        <w:tc>
          <w:tcPr>
            <w:tcW w:w="2509" w:type="dxa"/>
            <w:vMerge w:val="restart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原“211”“985”普高全日制本科及以上毕业生；或其他高校硕士、博士研究生。取得相应资格证。</w:t>
            </w: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机电一体化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机电类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电子商务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电子商务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财会教师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会计学、财务管理、财务会计教育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文秘教师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汉语言、秘书学等相关专业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网络技术教师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信息工程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信息技术教师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教育技术学、计算机类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restart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  小学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  （21名）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汉语言文学类（中国语言文学类）</w:t>
            </w:r>
          </w:p>
        </w:tc>
        <w:tc>
          <w:tcPr>
            <w:tcW w:w="2509" w:type="dxa"/>
            <w:vMerge w:val="restart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原“211”“985”普高全日制师范教育类本科及以上毕业生；或师范教育类硕士、博士研究生（非师范教育类专业，第一学历必须为普高全日制师范教育类二批本科以上）。取得相应岗位教师资格证。</w:t>
            </w:r>
          </w:p>
        </w:tc>
        <w:tc>
          <w:tcPr>
            <w:tcW w:w="1022" w:type="dxa"/>
            <w:vMerge w:val="restart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本科毕业生30岁以下（即1988年1月1日以后出生）；硕士研究生35岁以下，博士研究生45岁以下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物理学类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化学教师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化学类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生物学类、生物科学类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政治学类、哲学类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地理学类、地理科学类、人文教育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信息技术教师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教育技术学、计算机类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音乐、舞蹈类</w:t>
            </w:r>
          </w:p>
        </w:tc>
        <w:tc>
          <w:tcPr>
            <w:tcW w:w="2509" w:type="dxa"/>
            <w:vMerge w:val="restart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原“211”“985”普高全日制本科及以上毕业生；或师范教育类硕士、博士研究生（非师范教育类专业，第一学历必须为普高全日制二批本科以上）。取得相应岗位教师资格证</w:t>
            </w: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体育学类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2" w:type="dxa"/>
            <w:vMerge w:val="continue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美术学、绘画、中国画、雕塑</w:t>
            </w:r>
          </w:p>
        </w:tc>
        <w:tc>
          <w:tcPr>
            <w:tcW w:w="2509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1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8625" w:type="dxa"/>
            <w:gridSpan w:val="7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1、各职位市级及以上的优秀教师、骨干教师、学科带头人、年龄42岁以下，学历不作要求；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   2、各职位省级及以上的优秀教师、骨干教师、学科带头人、奥赛金牌教练、学科比赛一等奖获得者、特级教师和正高级教师，年龄在45岁以下，学历不作要求。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260B3"/>
    <w:rsid w:val="6DB2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2017-11-30T09:09:00Z</dcterms:created>
  <dc:creator>Administrator</dc:creator>
  <cp:lastModifiedBy>Administrator</cp:lastModifiedBy>
  <dcterms:modified xsi:type="dcterms:W3CDTF">2017-11-30T09:10:40Z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