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rFonts w:hint="eastAsia" w:ascii="微软雅黑" w:hAnsi="微软雅黑" w:eastAsia="微软雅黑" w:cs="微软雅黑"/>
          <w:b w:val="0"/>
          <w:i w:val="0"/>
          <w:caps w:val="0"/>
          <w:color w:val="000000"/>
          <w:spacing w:val="0"/>
          <w:sz w:val="21"/>
          <w:szCs w:val="21"/>
        </w:rPr>
      </w:pPr>
      <w:bookmarkStart w:id="0" w:name="_GoBack"/>
      <w:r>
        <w:rPr>
          <w:rFonts w:ascii="方正小标宋简体" w:hAnsi="方正小标宋简体" w:eastAsia="方正小标宋简体" w:cs="方正小标宋简体"/>
          <w:b w:val="0"/>
          <w:i w:val="0"/>
          <w:caps w:val="0"/>
          <w:color w:val="000000"/>
          <w:spacing w:val="0"/>
          <w:sz w:val="31"/>
          <w:szCs w:val="31"/>
          <w:bdr w:val="none" w:color="auto" w:sz="0" w:space="0"/>
        </w:rPr>
        <w:t>新疆昌吉州玛纳斯县招聘学前、义务教育阶段教师简章</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rFonts w:hint="eastAsia" w:ascii="微软雅黑" w:hAnsi="微软雅黑" w:eastAsia="微软雅黑" w:cs="微软雅黑"/>
          <w:b w:val="0"/>
          <w:i w:val="0"/>
          <w:caps w:val="0"/>
          <w:color w:val="000000"/>
          <w:spacing w:val="0"/>
          <w:sz w:val="21"/>
          <w:szCs w:val="21"/>
        </w:rPr>
      </w:pPr>
      <w:r>
        <w:rPr>
          <w:rFonts w:hint="eastAsia" w:ascii="方正小标宋简体" w:hAnsi="方正小标宋简体" w:eastAsia="方正小标宋简体" w:cs="方正小标宋简体"/>
          <w:b w:val="0"/>
          <w:i w:val="0"/>
          <w:caps w:val="0"/>
          <w:color w:val="000000"/>
          <w:spacing w:val="0"/>
          <w:sz w:val="43"/>
          <w:szCs w:val="43"/>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705"/>
        <w:rPr>
          <w:rFonts w:hint="eastAsia" w:ascii="微软雅黑" w:hAnsi="微软雅黑" w:eastAsia="微软雅黑" w:cs="微软雅黑"/>
          <w:b w:val="0"/>
          <w:i w:val="0"/>
          <w:caps w:val="0"/>
          <w:color w:val="000000"/>
          <w:spacing w:val="0"/>
          <w:sz w:val="21"/>
          <w:szCs w:val="21"/>
        </w:rPr>
      </w:pPr>
      <w:r>
        <w:rPr>
          <w:rFonts w:ascii="仿宋_GB2312" w:hAnsi="微软雅黑" w:eastAsia="仿宋_GB2312" w:cs="仿宋_GB2312"/>
          <w:b w:val="0"/>
          <w:i w:val="0"/>
          <w:caps w:val="0"/>
          <w:color w:val="000000"/>
          <w:spacing w:val="0"/>
          <w:sz w:val="31"/>
          <w:szCs w:val="31"/>
          <w:bdr w:val="none" w:color="auto" w:sz="0" w:space="0"/>
        </w:rPr>
        <w:t>根据《关于做好2018年学前、义务教育阶段特岗教师和普通高中教师招聘工作的通知》（新教师〔2018〕1号）有关要求，结合我县实际，面向社会招聘教师。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ascii="黑体" w:hAnsi="宋体" w:eastAsia="黑体" w:cs="黑体"/>
          <w:i w:val="0"/>
          <w:caps w:val="0"/>
          <w:color w:val="000000"/>
          <w:spacing w:val="0"/>
          <w:sz w:val="31"/>
          <w:szCs w:val="31"/>
          <w:bdr w:val="none" w:color="auto" w:sz="0" w:space="0"/>
        </w:rPr>
        <w:t>一、教师招聘计划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黑体" w:hAnsi="宋体" w:eastAsia="黑体" w:cs="黑体"/>
          <w:i w:val="0"/>
          <w:caps w:val="0"/>
          <w:color w:val="000000"/>
          <w:spacing w:val="0"/>
          <w:sz w:val="31"/>
          <w:szCs w:val="31"/>
          <w:bdr w:val="none" w:color="auto" w:sz="0" w:space="0"/>
        </w:rPr>
        <w:t>（一）玛纳斯县自主招聘特岗教师岗位（33名）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ascii="楷体" w:hAnsi="楷体" w:eastAsia="楷体" w:cs="楷体"/>
          <w:b w:val="0"/>
          <w:i w:val="0"/>
          <w:caps w:val="0"/>
          <w:color w:val="000000"/>
          <w:spacing w:val="0"/>
          <w:sz w:val="31"/>
          <w:szCs w:val="31"/>
          <w:bdr w:val="none" w:color="auto" w:sz="0" w:space="0"/>
        </w:rPr>
        <w:t>1.</w:t>
      </w:r>
      <w:r>
        <w:rPr>
          <w:rFonts w:hint="eastAsia" w:ascii="楷体" w:hAnsi="楷体" w:eastAsia="楷体" w:cs="楷体"/>
          <w:b w:val="0"/>
          <w:i w:val="0"/>
          <w:caps w:val="0"/>
          <w:color w:val="000000"/>
          <w:spacing w:val="0"/>
          <w:sz w:val="31"/>
          <w:szCs w:val="31"/>
          <w:bdr w:val="none" w:color="auto" w:sz="0" w:space="0"/>
        </w:rPr>
        <w:t>初中教师(7名)：</w:t>
      </w:r>
      <w:r>
        <w:rPr>
          <w:rFonts w:hint="eastAsia" w:ascii="仿宋_GB2312" w:hAnsi="微软雅黑" w:eastAsia="仿宋_GB2312" w:cs="仿宋_GB2312"/>
          <w:b w:val="0"/>
          <w:i w:val="0"/>
          <w:caps w:val="0"/>
          <w:color w:val="000000"/>
          <w:spacing w:val="0"/>
          <w:sz w:val="31"/>
          <w:szCs w:val="31"/>
          <w:bdr w:val="none" w:color="auto" w:sz="0" w:space="0"/>
        </w:rPr>
        <w:t>汉语文3名，英语2名，历史1名，信息技术1名。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楷体" w:hAnsi="楷体" w:eastAsia="楷体" w:cs="楷体"/>
          <w:b w:val="0"/>
          <w:i w:val="0"/>
          <w:caps w:val="0"/>
          <w:color w:val="000000"/>
          <w:spacing w:val="0"/>
          <w:sz w:val="31"/>
          <w:szCs w:val="31"/>
          <w:bdr w:val="none" w:color="auto" w:sz="0" w:space="0"/>
        </w:rPr>
        <w:t>2.小学教师（14名）：</w:t>
      </w:r>
      <w:r>
        <w:rPr>
          <w:rFonts w:hint="eastAsia" w:ascii="仿宋_GB2312" w:hAnsi="微软雅黑" w:eastAsia="仿宋_GB2312" w:cs="仿宋_GB2312"/>
          <w:b w:val="0"/>
          <w:i w:val="0"/>
          <w:caps w:val="0"/>
          <w:color w:val="000000"/>
          <w:spacing w:val="0"/>
          <w:sz w:val="31"/>
          <w:szCs w:val="31"/>
          <w:bdr w:val="none" w:color="auto" w:sz="0" w:space="0"/>
        </w:rPr>
        <w:t>汉语文7名，数学5名，体育2名。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楷体" w:hAnsi="楷体" w:eastAsia="楷体" w:cs="楷体"/>
          <w:b w:val="0"/>
          <w:i w:val="0"/>
          <w:caps w:val="0"/>
          <w:color w:val="000000"/>
          <w:spacing w:val="0"/>
          <w:sz w:val="31"/>
          <w:szCs w:val="31"/>
          <w:bdr w:val="none" w:color="auto" w:sz="0" w:space="0"/>
        </w:rPr>
        <w:t>3.学前教育教师（12名）。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楷体" w:hAnsi="楷体" w:eastAsia="楷体" w:cs="楷体"/>
          <w:i w:val="0"/>
          <w:caps w:val="0"/>
          <w:color w:val="000000"/>
          <w:spacing w:val="0"/>
          <w:sz w:val="31"/>
          <w:szCs w:val="31"/>
          <w:bdr w:val="none" w:color="auto" w:sz="0" w:space="0"/>
        </w:rPr>
        <w:t>（二）玛纳斯县事业单位编外同工同酬教师岗位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5"/>
        <w:rPr>
          <w:rFonts w:hint="eastAsia" w:ascii="微软雅黑" w:hAnsi="微软雅黑" w:eastAsia="微软雅黑" w:cs="微软雅黑"/>
          <w:b w:val="0"/>
          <w:i w:val="0"/>
          <w:caps w:val="0"/>
          <w:color w:val="000000"/>
          <w:spacing w:val="0"/>
          <w:sz w:val="21"/>
          <w:szCs w:val="21"/>
        </w:rPr>
      </w:pPr>
      <w:r>
        <w:rPr>
          <w:rFonts w:ascii="仿宋" w:hAnsi="仿宋" w:eastAsia="仿宋" w:cs="仿宋"/>
          <w:b w:val="0"/>
          <w:i w:val="0"/>
          <w:caps w:val="0"/>
          <w:color w:val="000000"/>
          <w:spacing w:val="0"/>
          <w:sz w:val="31"/>
          <w:szCs w:val="31"/>
          <w:bdr w:val="none" w:color="auto" w:sz="0" w:space="0"/>
        </w:rPr>
        <w:t>1.</w:t>
      </w:r>
      <w:r>
        <w:rPr>
          <w:rFonts w:hint="eastAsia" w:ascii="仿宋" w:hAnsi="仿宋" w:eastAsia="仿宋" w:cs="仿宋"/>
          <w:b w:val="0"/>
          <w:i w:val="0"/>
          <w:caps w:val="0"/>
          <w:color w:val="000000"/>
          <w:spacing w:val="0"/>
          <w:sz w:val="31"/>
          <w:szCs w:val="31"/>
          <w:bdr w:val="none" w:color="auto" w:sz="0" w:space="0"/>
        </w:rPr>
        <w:t>初中教师（16名）：语文4名、数学1名、英语5名、生物1名、政治1名、历史1名、计算机1名、体育1名、美术1名。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 w:hAnsi="仿宋" w:eastAsia="仿宋" w:cs="仿宋"/>
          <w:b w:val="0"/>
          <w:i w:val="0"/>
          <w:caps w:val="0"/>
          <w:color w:val="000000"/>
          <w:spacing w:val="0"/>
          <w:sz w:val="31"/>
          <w:szCs w:val="31"/>
          <w:bdr w:val="none" w:color="auto" w:sz="0" w:space="0"/>
        </w:rPr>
        <w:t>2.小学教师（86名）。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 w:hAnsi="仿宋" w:eastAsia="仿宋" w:cs="仿宋"/>
          <w:b w:val="0"/>
          <w:i w:val="0"/>
          <w:caps w:val="0"/>
          <w:color w:val="000000"/>
          <w:spacing w:val="0"/>
          <w:sz w:val="31"/>
          <w:szCs w:val="31"/>
          <w:bdr w:val="none" w:color="auto" w:sz="0" w:space="0"/>
        </w:rPr>
        <w:t>（1）县城小学教师（38名）：语文12名、数学11名、英语2名、体育8名、音乐1名、 美术2名、科学1名、综合实践活动1名。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 w:hAnsi="仿宋" w:eastAsia="仿宋" w:cs="仿宋"/>
          <w:b w:val="0"/>
          <w:i w:val="0"/>
          <w:caps w:val="0"/>
          <w:color w:val="000000"/>
          <w:spacing w:val="0"/>
          <w:sz w:val="31"/>
          <w:szCs w:val="31"/>
          <w:bdr w:val="none" w:color="auto" w:sz="0" w:space="0"/>
        </w:rPr>
        <w:t>（2）乡镇小学教师（48名）：语文21名、数学19名、英语1名、计算机2名、音乐3名、美术1名、科学1名。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 w:hAnsi="仿宋" w:eastAsia="仿宋" w:cs="仿宋"/>
          <w:b w:val="0"/>
          <w:i w:val="0"/>
          <w:caps w:val="0"/>
          <w:color w:val="000000"/>
          <w:spacing w:val="0"/>
          <w:sz w:val="31"/>
          <w:szCs w:val="31"/>
          <w:bdr w:val="none" w:color="auto" w:sz="0" w:space="0"/>
        </w:rPr>
        <w:t>3.幼儿园教师（76名）：县城幼儿园教师42名，乡镇幼儿园教师34名。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黑体" w:hAnsi="宋体" w:eastAsia="黑体" w:cs="黑体"/>
          <w:i w:val="0"/>
          <w:caps w:val="0"/>
          <w:color w:val="000000"/>
          <w:spacing w:val="0"/>
          <w:sz w:val="31"/>
          <w:szCs w:val="31"/>
          <w:bdr w:val="none" w:color="auto" w:sz="0" w:space="0"/>
        </w:rPr>
        <w:t>二、招聘对象和条件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楷体" w:hAnsi="楷体" w:eastAsia="楷体" w:cs="楷体"/>
          <w:i w:val="0"/>
          <w:caps w:val="0"/>
          <w:color w:val="000000"/>
          <w:spacing w:val="0"/>
          <w:sz w:val="31"/>
          <w:szCs w:val="31"/>
          <w:bdr w:val="none" w:color="auto" w:sz="0" w:space="0"/>
        </w:rPr>
        <w:t>（一）招聘对象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全日制普通高校毕业生。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有下列情形之一的人员，不得报考：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1.自治区中小学和幼儿园正式在编教师（含三年服务期未满特岗教师）及办理完辞职手续不到一年的教师不得报考特岗教师；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2.现役军人；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3.自治区统一组织选派到基层乡镇工作服务期未满人员；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4.近3年来，在公务员、教师等招考过程中有作弊、弄虚作假等行为的人员；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5.受行政处分尚未解除的人员；曾因犯罪受过刑事处罚，或被开除公职，以及法律规定不得聘用为教师的其他情形的人员。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上述情形涉及时限的截止至2018年4月10日。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楷体" w:hAnsi="楷体" w:eastAsia="楷体" w:cs="楷体"/>
          <w:i w:val="0"/>
          <w:caps w:val="0"/>
          <w:color w:val="000000"/>
          <w:spacing w:val="0"/>
          <w:sz w:val="31"/>
          <w:szCs w:val="31"/>
          <w:bdr w:val="none" w:color="auto" w:sz="0" w:space="0"/>
        </w:rPr>
        <w:t>（二）招聘对象的基本条件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1.具有中华人民共和国国籍。内地院校毕业的应、历届毕业生，报考特岗教师岗位，户籍可以是新疆或内地户籍。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2.政治思想素质好，热爱祖国，拥护中国共产党的领导，自觉维护民族团结，品行端正，志愿从事教育工作。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3.年龄在35周岁及以下（1983年1月1日及以后出生）。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4.身体健康，具有良好的心理素质，适应教育教学工作的需要。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楷体" w:hAnsi="楷体" w:eastAsia="楷体" w:cs="楷体"/>
          <w:i w:val="0"/>
          <w:caps w:val="0"/>
          <w:color w:val="000000"/>
          <w:spacing w:val="0"/>
          <w:sz w:val="31"/>
          <w:szCs w:val="31"/>
          <w:bdr w:val="none" w:color="auto" w:sz="0" w:space="0"/>
        </w:rPr>
        <w:t>5.招聘岗位专业学历要求：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（1）专业要求：详见《2018年新疆维吾尔自治区中小学和幼儿园教师招聘考试专业参考目录》；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（2）学历要求：</w:t>
      </w:r>
      <w:r>
        <w:rPr>
          <w:rFonts w:hint="eastAsia" w:ascii="仿宋" w:hAnsi="仿宋" w:eastAsia="仿宋" w:cs="仿宋"/>
          <w:b w:val="0"/>
          <w:i w:val="0"/>
          <w:caps w:val="0"/>
          <w:color w:val="000000"/>
          <w:spacing w:val="0"/>
          <w:sz w:val="31"/>
          <w:szCs w:val="31"/>
          <w:bdr w:val="none" w:color="auto" w:sz="0" w:space="0"/>
        </w:rPr>
        <w:t>乡镇幼儿园招聘人员为全日制中专学前教育专业或师范类大专及以上学历的应历届毕业生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县城小学阶段要求全日制本科及以上学历；乡镇小学阶段要求全日制大专及以上学历；初中阶段要求全日制本科及以上学历。对尚未发放毕业证的2018年应届毕业生，提供由所在学校教务部门出具的，可于2018年7月正常毕业的书面证明材料，材料中要注明学历层次，所学专业及培养方式，毕业证书取得截止时间为7月20日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楷体" w:hAnsi="楷体" w:eastAsia="楷体" w:cs="楷体"/>
          <w:i w:val="0"/>
          <w:caps w:val="0"/>
          <w:color w:val="000000"/>
          <w:spacing w:val="0"/>
          <w:sz w:val="31"/>
          <w:szCs w:val="31"/>
          <w:bdr w:val="none" w:color="auto" w:sz="0" w:space="0"/>
        </w:rPr>
        <w:t>6.招聘岗位普通话水平或汉语水平要求：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（1）母语为汉语报考人员，普通话水平须达到二级乙等及以上，报考“汉语文”学科人员，普通话水平须达到二级甲等及以上；母语为非汉语报考人员，MHK等级水平须达到三级甲等及以上。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2）对内地普通高校的新疆少数民族2018年应届毕业生的MHK等级水平不作要求，但是如果通过考试，并在2018年9月正式上岗任教后，必须在上岗一年内取得招聘岗位规定的MHK等级证书，未能按时取得的，解除聘用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楷体" w:hAnsi="楷体" w:eastAsia="楷体" w:cs="楷体"/>
          <w:i w:val="0"/>
          <w:caps w:val="0"/>
          <w:color w:val="000000"/>
          <w:spacing w:val="0"/>
          <w:sz w:val="31"/>
          <w:szCs w:val="31"/>
          <w:bdr w:val="none" w:color="auto" w:sz="0" w:space="0"/>
        </w:rPr>
        <w:t>7.招聘岗位教师资格要求：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（1）考生须具备招聘岗位要求的相应层次教师资格证书或教师资格认定条件。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2）历届毕业生必须具备报考岗位要求的相应层次教师资格证书，2018年应届毕业生如无法提供报考岗位要求的相应层次教师资格证书，则必须具备教师资格认定条件，并在2018年9月正式上岗任教后一年内取得报考岗位要求的相应层次教师资格证书，未能按时取得的，解除聘用关系。具备教师资格认定条件，指必须符合招聘岗位学历要求，同时普通话水平或汉语水平达到报考条件第6条所列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（3）对报考幼儿园岗位的大专及以上学历师范类专业历届毕业生的教师资格不做要求，但须在2018年9月正式上岗任教后一年内取得报考岗位要求的相应层次教师资格证书，未能按时取得的，解除聘用关系。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8. 符合招聘岗位所要求的其他资格条件。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黑体" w:hAnsi="宋体" w:eastAsia="黑体" w:cs="黑体"/>
          <w:i w:val="0"/>
          <w:caps w:val="0"/>
          <w:color w:val="000000"/>
          <w:spacing w:val="0"/>
          <w:sz w:val="31"/>
          <w:szCs w:val="31"/>
          <w:bdr w:val="none" w:color="auto" w:sz="0" w:space="0"/>
        </w:rPr>
        <w:t>三、招聘办法及程序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楷体" w:hAnsi="楷体" w:eastAsia="楷体" w:cs="楷体"/>
          <w:i w:val="0"/>
          <w:caps w:val="0"/>
          <w:color w:val="000000"/>
          <w:spacing w:val="0"/>
          <w:sz w:val="31"/>
          <w:szCs w:val="31"/>
          <w:bdr w:val="none" w:color="auto" w:sz="0" w:space="0"/>
        </w:rPr>
        <w:t>（一）招聘办法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由招聘工作领导小组抽调人员组成工作组，到疆外院校进行现场招聘。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楷体" w:hAnsi="楷体" w:eastAsia="楷体" w:cs="楷体"/>
          <w:i w:val="0"/>
          <w:caps w:val="0"/>
          <w:color w:val="000000"/>
          <w:spacing w:val="0"/>
          <w:sz w:val="31"/>
          <w:szCs w:val="31"/>
          <w:bdr w:val="none" w:color="auto" w:sz="0" w:space="0"/>
        </w:rPr>
        <w:t>（二）招聘程序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1.发布招聘公告。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2.报名及资格审查。采取提前报名和现场报名相结合的方式。资格审查按照简章规定执行。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考生需携带本人身份证、毕业证或毕业证明、教师资格证或证明、普通话证书、个人自荐材料（含个人基本情况、个人特长、受表彰情况）、《毕业生推荐表》《高校毕业生就业协议书》。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楷体" w:hAnsi="楷体" w:eastAsia="楷体" w:cs="楷体"/>
          <w:b w:val="0"/>
          <w:i w:val="0"/>
          <w:caps w:val="0"/>
          <w:color w:val="000000"/>
          <w:spacing w:val="0"/>
          <w:sz w:val="31"/>
          <w:szCs w:val="31"/>
          <w:bdr w:val="none" w:color="auto" w:sz="0" w:space="0"/>
        </w:rPr>
        <w:t>3.面试。</w:t>
      </w:r>
      <w:r>
        <w:rPr>
          <w:rFonts w:hint="eastAsia" w:ascii="仿宋_GB2312" w:hAnsi="微软雅黑" w:eastAsia="仿宋_GB2312" w:cs="仿宋_GB2312"/>
          <w:b w:val="0"/>
          <w:i w:val="0"/>
          <w:caps w:val="0"/>
          <w:color w:val="000000"/>
          <w:spacing w:val="0"/>
          <w:sz w:val="31"/>
          <w:szCs w:val="31"/>
          <w:bdr w:val="none" w:color="auto" w:sz="0" w:space="0"/>
        </w:rPr>
        <w:t>由招聘小组结合实际现场组织面试，被录取教师签订三方就业协议书。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中小学教师岗位面试：主要通过试讲、答辩等方式进行。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幼儿园教师岗位面试：主要通过试讲、答辩、幼教专业技能测试等方式进行。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楷体" w:hAnsi="楷体" w:eastAsia="楷体" w:cs="楷体"/>
          <w:b w:val="0"/>
          <w:i w:val="0"/>
          <w:caps w:val="0"/>
          <w:color w:val="000000"/>
          <w:spacing w:val="0"/>
          <w:sz w:val="31"/>
          <w:szCs w:val="31"/>
          <w:bdr w:val="none" w:color="auto" w:sz="0" w:space="0"/>
        </w:rPr>
        <w:t>4.招聘结束后，后续工作如体检、政审、培训等按相关规定和程序进行。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黑体" w:hAnsi="宋体" w:eastAsia="黑体" w:cs="黑体"/>
          <w:i w:val="0"/>
          <w:caps w:val="0"/>
          <w:color w:val="000000"/>
          <w:spacing w:val="0"/>
          <w:sz w:val="31"/>
          <w:szCs w:val="31"/>
          <w:bdr w:val="none" w:color="auto" w:sz="0" w:space="0"/>
        </w:rPr>
        <w:t>四、教师政策及待遇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仿宋_GB2312" w:hAnsi="微软雅黑" w:eastAsia="仿宋_GB2312" w:cs="仿宋_GB2312"/>
          <w:i w:val="0"/>
          <w:caps w:val="0"/>
          <w:color w:val="000000"/>
          <w:spacing w:val="0"/>
          <w:sz w:val="31"/>
          <w:szCs w:val="31"/>
          <w:bdr w:val="none" w:color="auto" w:sz="0" w:space="0"/>
        </w:rPr>
        <w:t>（一）特岗教师待遇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1.特岗教师在服务期内，执行国家统一的工资制度和标准，并享受相应的社会保障待遇。与当地公办教师享受同等待遇。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2.学前、义务阶段特岗教师服务期为3年。特岗教师三年聘期结束后，对服务期满考核合格人员，办理正式入编手续。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仿宋_GB2312" w:hAnsi="微软雅黑" w:eastAsia="仿宋_GB2312" w:cs="仿宋_GB2312"/>
          <w:i w:val="0"/>
          <w:caps w:val="0"/>
          <w:color w:val="000000"/>
          <w:spacing w:val="0"/>
          <w:sz w:val="31"/>
          <w:szCs w:val="31"/>
          <w:bdr w:val="none" w:color="auto" w:sz="0" w:space="0"/>
        </w:rPr>
        <w:t>（二）玛纳斯县事业单位编外同工同酬教师待遇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 w:hAnsi="仿宋" w:eastAsia="仿宋" w:cs="仿宋"/>
          <w:b w:val="0"/>
          <w:i w:val="0"/>
          <w:caps w:val="0"/>
          <w:color w:val="000000"/>
          <w:spacing w:val="0"/>
          <w:sz w:val="31"/>
          <w:szCs w:val="31"/>
          <w:bdr w:val="none" w:color="auto" w:sz="0" w:space="0"/>
        </w:rPr>
        <w:t>按照我县事业单位编制外同工同酬方式签订聘用合同，工资列入县财政统发，解决住宿。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黑体" w:hAnsi="宋体" w:eastAsia="黑体" w:cs="黑体"/>
          <w:i w:val="0"/>
          <w:caps w:val="0"/>
          <w:color w:val="000000"/>
          <w:spacing w:val="0"/>
          <w:sz w:val="31"/>
          <w:szCs w:val="31"/>
          <w:bdr w:val="none" w:color="auto" w:sz="0" w:space="0"/>
        </w:rPr>
        <w:t>五、相关事项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未尽事宜由玛纳斯县教师招聘工作领导小组负责解释。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 w:hAnsi="仿宋" w:eastAsia="仿宋" w:cs="仿宋"/>
          <w:b w:val="0"/>
          <w:i w:val="0"/>
          <w:caps w:val="0"/>
          <w:color w:val="000000"/>
          <w:spacing w:val="0"/>
          <w:sz w:val="31"/>
          <w:szCs w:val="31"/>
          <w:bdr w:val="none" w:color="auto" w:sz="0" w:space="0"/>
        </w:rPr>
        <w:t>咨询单位：新疆昌吉州玛纳斯县教育和科学技术局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 w:hAnsi="仿宋" w:eastAsia="仿宋" w:cs="仿宋"/>
          <w:b w:val="0"/>
          <w:i w:val="0"/>
          <w:caps w:val="0"/>
          <w:color w:val="000000"/>
          <w:spacing w:val="0"/>
          <w:sz w:val="31"/>
          <w:szCs w:val="31"/>
          <w:bdr w:val="none" w:color="auto" w:sz="0" w:space="0"/>
        </w:rPr>
        <w:t>联 系 人：陆主任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315" w:right="0" w:firstLine="315"/>
        <w:rPr>
          <w:rFonts w:hint="eastAsia" w:ascii="微软雅黑" w:hAnsi="微软雅黑" w:eastAsia="微软雅黑" w:cs="微软雅黑"/>
          <w:b w:val="0"/>
          <w:i w:val="0"/>
          <w:caps w:val="0"/>
          <w:color w:val="000000"/>
          <w:spacing w:val="0"/>
          <w:sz w:val="21"/>
          <w:szCs w:val="21"/>
        </w:rPr>
      </w:pPr>
      <w:r>
        <w:rPr>
          <w:rFonts w:hint="eastAsia" w:ascii="仿宋" w:hAnsi="仿宋" w:eastAsia="仿宋" w:cs="仿宋"/>
          <w:b w:val="0"/>
          <w:i w:val="0"/>
          <w:caps w:val="0"/>
          <w:color w:val="000000"/>
          <w:spacing w:val="0"/>
          <w:sz w:val="31"/>
          <w:szCs w:val="31"/>
          <w:bdr w:val="none" w:color="auto" w:sz="0" w:space="0"/>
        </w:rPr>
        <w:t>联系电话：0994-6689063  18096828689</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 w:hAnsi="仿宋" w:eastAsia="仿宋" w:cs="仿宋"/>
          <w:b w:val="0"/>
          <w:i w:val="0"/>
          <w:caps w:val="0"/>
          <w:color w:val="000000"/>
          <w:spacing w:val="0"/>
          <w:sz w:val="31"/>
          <w:szCs w:val="31"/>
          <w:bdr w:val="none" w:color="auto" w:sz="0" w:space="0"/>
        </w:rPr>
        <w:t>电子邮箱：</w:t>
      </w:r>
      <w:r>
        <w:rPr>
          <w:rStyle w:val="4"/>
          <w:rFonts w:hint="eastAsia" w:ascii="微软雅黑" w:hAnsi="微软雅黑" w:eastAsia="微软雅黑" w:cs="微软雅黑"/>
          <w:i w:val="0"/>
          <w:caps w:val="0"/>
          <w:color w:val="353535"/>
          <w:spacing w:val="0"/>
          <w:sz w:val="19"/>
          <w:szCs w:val="19"/>
          <w:u w:val="none"/>
          <w:bdr w:val="none" w:color="auto" w:sz="0" w:space="0"/>
        </w:rPr>
        <w:fldChar w:fldCharType="begin"/>
      </w:r>
      <w:r>
        <w:rPr>
          <w:rStyle w:val="4"/>
          <w:rFonts w:hint="eastAsia" w:ascii="微软雅黑" w:hAnsi="微软雅黑" w:eastAsia="微软雅黑" w:cs="微软雅黑"/>
          <w:i w:val="0"/>
          <w:caps w:val="0"/>
          <w:color w:val="353535"/>
          <w:spacing w:val="0"/>
          <w:sz w:val="19"/>
          <w:szCs w:val="19"/>
          <w:u w:val="none"/>
          <w:bdr w:val="none" w:color="auto" w:sz="0" w:space="0"/>
        </w:rPr>
        <w:instrText xml:space="preserve"> HYPERLINK "mailto:468185416@qq.com" </w:instrText>
      </w:r>
      <w:r>
        <w:rPr>
          <w:rStyle w:val="4"/>
          <w:rFonts w:hint="eastAsia" w:ascii="微软雅黑" w:hAnsi="微软雅黑" w:eastAsia="微软雅黑" w:cs="微软雅黑"/>
          <w:i w:val="0"/>
          <w:caps w:val="0"/>
          <w:color w:val="353535"/>
          <w:spacing w:val="0"/>
          <w:sz w:val="19"/>
          <w:szCs w:val="19"/>
          <w:u w:val="none"/>
          <w:bdr w:val="none" w:color="auto" w:sz="0" w:space="0"/>
        </w:rPr>
        <w:fldChar w:fldCharType="separate"/>
      </w:r>
      <w:r>
        <w:rPr>
          <w:rStyle w:val="6"/>
          <w:rFonts w:hint="eastAsia" w:ascii="微软雅黑" w:hAnsi="微软雅黑" w:eastAsia="微软雅黑" w:cs="微软雅黑"/>
          <w:i w:val="0"/>
          <w:caps w:val="0"/>
          <w:color w:val="353535"/>
          <w:spacing w:val="0"/>
          <w:sz w:val="19"/>
          <w:szCs w:val="19"/>
          <w:u w:val="none"/>
          <w:bdr w:val="none" w:color="auto" w:sz="0" w:space="0"/>
        </w:rPr>
        <w:t>468185416@qq.com</w:t>
      </w:r>
      <w:r>
        <w:rPr>
          <w:rStyle w:val="4"/>
          <w:rFonts w:hint="eastAsia" w:ascii="微软雅黑" w:hAnsi="微软雅黑" w:eastAsia="微软雅黑" w:cs="微软雅黑"/>
          <w:i w:val="0"/>
          <w:caps w:val="0"/>
          <w:color w:val="353535"/>
          <w:spacing w:val="0"/>
          <w:sz w:val="19"/>
          <w:szCs w:val="19"/>
          <w:u w:val="none"/>
          <w:bdr w:val="none" w:color="auto" w:sz="0" w:space="0"/>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仿宋" w:hAnsi="仿宋" w:eastAsia="仿宋" w:cs="仿宋"/>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仿宋" w:hAnsi="仿宋" w:eastAsia="仿宋" w:cs="仿宋"/>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仿宋" w:hAnsi="仿宋" w:eastAsia="仿宋" w:cs="仿宋"/>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仿宋" w:hAnsi="仿宋" w:eastAsia="仿宋" w:cs="仿宋"/>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仿宋" w:hAnsi="仿宋" w:eastAsia="仿宋" w:cs="仿宋"/>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仿宋" w:hAnsi="仿宋" w:eastAsia="仿宋" w:cs="仿宋"/>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仿宋" w:hAnsi="仿宋" w:eastAsia="仿宋" w:cs="仿宋"/>
          <w:i w:val="0"/>
          <w:caps w:val="0"/>
          <w:color w:val="000000"/>
          <w:spacing w:val="0"/>
          <w:sz w:val="31"/>
          <w:szCs w:val="31"/>
          <w:bdr w:val="none" w:color="auto" w:sz="0" w:space="0"/>
        </w:rPr>
        <w:t> </w:t>
      </w:r>
    </w:p>
    <w:tbl>
      <w:tblPr>
        <w:tblW w:w="94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852"/>
        <w:gridCol w:w="1725"/>
        <w:gridCol w:w="1416"/>
        <w:gridCol w:w="54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75" w:hRule="atLeast"/>
        </w:trPr>
        <w:tc>
          <w:tcPr>
            <w:tcW w:w="9465" w:type="dxa"/>
            <w:gridSpan w:val="4"/>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Style w:val="4"/>
                <w:rFonts w:hint="eastAsia" w:ascii="方正小标宋简体" w:hAnsi="方正小标宋简体" w:eastAsia="方正小标宋简体" w:cs="方正小标宋简体"/>
                <w:i w:val="0"/>
                <w:caps w:val="0"/>
                <w:color w:val="000000"/>
                <w:spacing w:val="0"/>
                <w:sz w:val="31"/>
                <w:szCs w:val="31"/>
                <w:bdr w:val="none" w:color="auto" w:sz="0" w:space="0"/>
              </w:rPr>
              <w:t>2018年自治区中小学和幼儿园教师招聘考试专业参考目录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80" w:hRule="atLeast"/>
        </w:trPr>
        <w:tc>
          <w:tcPr>
            <w:tcW w:w="85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序号</w:t>
            </w:r>
          </w:p>
        </w:tc>
        <w:tc>
          <w:tcPr>
            <w:tcW w:w="172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科目</w:t>
            </w:r>
          </w:p>
        </w:tc>
        <w:tc>
          <w:tcPr>
            <w:tcW w:w="6888" w:type="dxa"/>
            <w:gridSpan w:val="2"/>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19"/>
                <w:szCs w:val="19"/>
                <w:bdr w:val="none" w:color="auto" w:sz="0" w:space="0"/>
              </w:rPr>
              <w:t>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161" w:hRule="atLeast"/>
        </w:trPr>
        <w:tc>
          <w:tcPr>
            <w:tcW w:w="85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1</w:t>
            </w:r>
          </w:p>
        </w:tc>
        <w:tc>
          <w:tcPr>
            <w:tcW w:w="172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汉语类</w:t>
            </w:r>
          </w:p>
        </w:tc>
        <w:tc>
          <w:tcPr>
            <w:tcW w:w="6888" w:type="dxa"/>
            <w:gridSpan w:val="2"/>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汉语、 汉语言文学、汉语言、汉语国际教育、汉语言文字学、汉语言文学教育、古典文献学、语言学及应用语言学、中国现当代文学、中国古典文献学、华文教育、中国语言文化、中国古代文学、比较文学与世界文学、文艺学、小学教育（文科方向、限小学段）、学科教学（语文）、对外汉语、初等教育（文科方向）、初等教育（双语师资）、新闻学、编辑出版学、广播电视学、传播学、戏剧影视文学、文秘、秘书学、中国少数民族语言文学、中国少数民族语言文化   （维吾尔语）、中国少数民族语言文化 （哈萨克语）、汉语言翻译、维汉翻译等相关专业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846" w:hRule="atLeast"/>
        </w:trPr>
        <w:tc>
          <w:tcPr>
            <w:tcW w:w="85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2</w:t>
            </w:r>
          </w:p>
        </w:tc>
        <w:tc>
          <w:tcPr>
            <w:tcW w:w="172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汉语文类</w:t>
            </w:r>
          </w:p>
        </w:tc>
        <w:tc>
          <w:tcPr>
            <w:tcW w:w="6888" w:type="dxa"/>
            <w:gridSpan w:val="2"/>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汉语言文学、汉语言文学教育、古典文献学、汉语言文字学、古典文献学、语言学及应用语言学、中国现当代文学、中国古代文学、中国古典文献学、华文教育、中国语言文化、中国语言文学、应用语言学、文艺学、比较文学与世界文学、小学教育（文科方向、限小学段）、学科教学（语文）、初等教育（文科方向）、对外汉语、初等教育（双语师资）、新闻学、编辑出版学、广播电视新闻学、广播电视学、戏剧影视文学、文秘、秘书学等相关专业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110" w:hRule="atLeast"/>
        </w:trPr>
        <w:tc>
          <w:tcPr>
            <w:tcW w:w="85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3</w:t>
            </w:r>
          </w:p>
        </w:tc>
        <w:tc>
          <w:tcPr>
            <w:tcW w:w="172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英语类</w:t>
            </w:r>
          </w:p>
        </w:tc>
        <w:tc>
          <w:tcPr>
            <w:tcW w:w="6888" w:type="dxa"/>
            <w:gridSpan w:val="2"/>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英语、英语语言文学、英语教育、学科教学（英语）、翻译、科技英语、商务英语、商贸英语、英语笔译、英语翻译与传译、英语口译、应用英语、英语翻译导游、小学教育（英语方向、限小学段）、初等教育（英语方向）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636" w:hRule="atLeast"/>
        </w:trPr>
        <w:tc>
          <w:tcPr>
            <w:tcW w:w="85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4</w:t>
            </w:r>
          </w:p>
        </w:tc>
        <w:tc>
          <w:tcPr>
            <w:tcW w:w="172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数学类</w:t>
            </w:r>
          </w:p>
        </w:tc>
        <w:tc>
          <w:tcPr>
            <w:tcW w:w="6888" w:type="dxa"/>
            <w:gridSpan w:val="2"/>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数学与应用数学、信息与计算科学、数理基础科学、数学教育、数学、学科教学（数学）、小学教育(数学方向、限小学段)、初等教育(数学方向、理科方向)、初等教育（双语师资）、应用数学、计算数学、基础数学、概率论与数理统计、运筹学与控制论、计算机科学与技术、计算机应用技术、统计学、应用统计学、电子信息工程、电子信息科学与技术、电子科学与技术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191" w:hRule="atLeast"/>
        </w:trPr>
        <w:tc>
          <w:tcPr>
            <w:tcW w:w="85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5</w:t>
            </w:r>
          </w:p>
        </w:tc>
        <w:tc>
          <w:tcPr>
            <w:tcW w:w="172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政治类</w:t>
            </w:r>
          </w:p>
        </w:tc>
        <w:tc>
          <w:tcPr>
            <w:tcW w:w="6888" w:type="dxa"/>
            <w:gridSpan w:val="2"/>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政治、政治学、政治理论、政治学与行政学、国际政治、外交学、哲学、政治学理论、中外政治制度、科学社会主义与国际共产主义运动、中国共产党党史（含党的学说与党的建设）、国际关系、思想政治教育、学科教学（思政）、马克思主义基本原理、科学技术哲学、马克思主义发展史、马克思主义理论、马克思主义哲学、马克思主义中国化研究、中国哲学、科学社会主义与国际共产主义运动、中国革命史与中国共产党党史、马克思主义发展史、国外马克思主义研究、马克思主义理论与思想政治教育、教育学、法学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411" w:hRule="atLeast"/>
        </w:trPr>
        <w:tc>
          <w:tcPr>
            <w:tcW w:w="85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6</w:t>
            </w:r>
          </w:p>
        </w:tc>
        <w:tc>
          <w:tcPr>
            <w:tcW w:w="172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物理类</w:t>
            </w:r>
          </w:p>
        </w:tc>
        <w:tc>
          <w:tcPr>
            <w:tcW w:w="6888" w:type="dxa"/>
            <w:gridSpan w:val="2"/>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物理教育、物理学、核物理、应用物理学、化学物理、声学、工程力学、理论与应用力学、工程结构分析、理论物理、粒子物理与原子核物理、光学、原子与分子物理、等离子体物理、流体力学、凝聚态物理、无线电物理、固体力学、一般力学与力学基础、工程力学、流体力学、地球物理学、材料科学与工程、材料物理、高分子材料与工程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005" w:hRule="atLeast"/>
        </w:trPr>
        <w:tc>
          <w:tcPr>
            <w:tcW w:w="85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7</w:t>
            </w:r>
          </w:p>
        </w:tc>
        <w:tc>
          <w:tcPr>
            <w:tcW w:w="172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化学类</w:t>
            </w:r>
          </w:p>
        </w:tc>
        <w:tc>
          <w:tcPr>
            <w:tcW w:w="6888" w:type="dxa"/>
            <w:gridSpan w:val="2"/>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化学、应用化学、化学教育、学科教学（化学）、分析化学、高分子化学与物理、化学工程、有机化学、无机化学、物理化学、材料化学、化学工程与工艺、化学生物学、分子科学与工程、地球化学、材料科学与工程、材料化学、高分子材料与工程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831" w:hRule="atLeast"/>
        </w:trPr>
        <w:tc>
          <w:tcPr>
            <w:tcW w:w="85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8</w:t>
            </w:r>
          </w:p>
        </w:tc>
        <w:tc>
          <w:tcPr>
            <w:tcW w:w="172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生物类</w:t>
            </w:r>
          </w:p>
        </w:tc>
        <w:tc>
          <w:tcPr>
            <w:tcW w:w="6888" w:type="dxa"/>
            <w:gridSpan w:val="2"/>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生物教育、生物科学、生态学、生物教育、植物学、生理学、水生生物学、微生物学、神经生物学、遗传学、发育生物学、细胞生物学、生物化学与分子生物学、生物物理学、生态学生物科学、生物技术、生物信息学、生物信息技术、生物科学与生物技术、生物化学与分子生物学、植物生物技术、生物资源科学、生物安全、生物工程、学科教学（生物）、生物技术及应用、生物实验技术、生物化工工艺、微生物技术及应用、农学、园艺、植物保护、植物科学与技术、种子科学与工程、环境生态工程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080" w:hRule="atLeast"/>
        </w:trPr>
        <w:tc>
          <w:tcPr>
            <w:tcW w:w="85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9</w:t>
            </w:r>
          </w:p>
        </w:tc>
        <w:tc>
          <w:tcPr>
            <w:tcW w:w="172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地理类</w:t>
            </w:r>
          </w:p>
        </w:tc>
        <w:tc>
          <w:tcPr>
            <w:tcW w:w="6888" w:type="dxa"/>
            <w:gridSpan w:val="2"/>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地理科学、地理信息科学、自然地理与资源环境、人文地理与城乡规划、地图学与地理信息系统、自然地理学、人文地理学、学科教学（地理）、资源环境与城乡规划管理   、地理信息科学与技术、生态学、资源环境科学、历史地理学等相关专业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45" w:hRule="atLeast"/>
        </w:trPr>
        <w:tc>
          <w:tcPr>
            <w:tcW w:w="85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10</w:t>
            </w:r>
          </w:p>
        </w:tc>
        <w:tc>
          <w:tcPr>
            <w:tcW w:w="172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历史类</w:t>
            </w:r>
          </w:p>
        </w:tc>
        <w:tc>
          <w:tcPr>
            <w:tcW w:w="6888" w:type="dxa"/>
            <w:gridSpan w:val="2"/>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历史学、世界史、考古学、博物馆学、考古学与博物馆学、中国历史、世界历史、历史文献学、史学理论与史学史、学科教学（历史）、中国古代史、中国近现代史、专门史、历史地理学、民族学、文物保护技术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531" w:hRule="atLeast"/>
        </w:trPr>
        <w:tc>
          <w:tcPr>
            <w:tcW w:w="85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11</w:t>
            </w:r>
          </w:p>
        </w:tc>
        <w:tc>
          <w:tcPr>
            <w:tcW w:w="172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美术类</w:t>
            </w:r>
          </w:p>
        </w:tc>
        <w:tc>
          <w:tcPr>
            <w:tcW w:w="6888" w:type="dxa"/>
            <w:gridSpan w:val="2"/>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美术学、美术教育、绘画(油画、国画、雕塑、版画)、中国画、书法学、书法教育、艺术教育、艺术设计（学）、装潢艺术设计、环境艺术设计、学科教学（美术）、教育学（美术方向）、初等教育（美术方向）、艺术教育、美术设计、艺术设计、美术、设计艺术（学）、艺术学、综合绘画、装潢设计、装饰艺术设计、动漫、动漫设计与制作、动画、动画设计、电脑艺术设计、人物形象设计、装潢艺术设计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411" w:hRule="atLeast"/>
        </w:trPr>
        <w:tc>
          <w:tcPr>
            <w:tcW w:w="85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12</w:t>
            </w:r>
          </w:p>
        </w:tc>
        <w:tc>
          <w:tcPr>
            <w:tcW w:w="172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音乐类</w:t>
            </w:r>
          </w:p>
        </w:tc>
        <w:tc>
          <w:tcPr>
            <w:tcW w:w="6888" w:type="dxa"/>
            <w:gridSpan w:val="2"/>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音乐学、音乐教育、音乐学(音乐教育)、舞蹈学、舞蹈教育、舞蹈表演、音乐表演、学科教学（音乐）、初等教育（音乐方向）、艺术教育(音乐方向)、演唱、表演、表演艺术、舞蹈编导、作曲与作曲技术理论、钢琴调律、管弦乐器演奏、键盘乐器演奏、乐器修造艺术、流行音乐电声乐器、音乐舞蹈教育、音乐与舞蹈、音乐剧、指挥、中国乐器演奏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200" w:hRule="atLeast"/>
        </w:trPr>
        <w:tc>
          <w:tcPr>
            <w:tcW w:w="85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13</w:t>
            </w:r>
          </w:p>
        </w:tc>
        <w:tc>
          <w:tcPr>
            <w:tcW w:w="172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体育类</w:t>
            </w:r>
          </w:p>
        </w:tc>
        <w:tc>
          <w:tcPr>
            <w:tcW w:w="6888" w:type="dxa"/>
            <w:gridSpan w:val="2"/>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体育教育、学科教学（体育）、初等教育（体育方向）、运动训练、竞技体育、社会体育指导与管理、武术与民族传统体育、社会体育、体育健康、体育教学、体育教育训练学、体育人文社会学、运动人体科学、体育健康、民族传统体育学、体育服务与管理、运动康复与健康、休闲体育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251" w:hRule="atLeast"/>
        </w:trPr>
        <w:tc>
          <w:tcPr>
            <w:tcW w:w="85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14</w:t>
            </w:r>
          </w:p>
        </w:tc>
        <w:tc>
          <w:tcPr>
            <w:tcW w:w="172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计算机类</w:t>
            </w:r>
          </w:p>
        </w:tc>
        <w:tc>
          <w:tcPr>
            <w:tcW w:w="6888" w:type="dxa"/>
            <w:gridSpan w:val="2"/>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计算机教育、计算机科学与技术、初等教育（现代信息技术方向）、教育技术学、现代教育技术、网络工程、软件工程、信息安全、通信工程、信息工程、电子信息科学与技术、计算机应用技术、计算机网络技术、计算机多媒体技术、计算机系统维护、计算机硬件与外设、计算机信息管理、网络系统管理、软件技术、图形图像制作、计算机网络与安全管理、网站规划与开发技术、游戏软件、数据通信与网络系统、航空计算机技术与应用、软件开发与项目管理、三维动画设计、计算机音乐制作、软件测试技术、嵌入式技术与应用、物联网工程、自动化、数字媒体技术、计算机软件与理论、计算机系统结构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065" w:hRule="atLeast"/>
        </w:trPr>
        <w:tc>
          <w:tcPr>
            <w:tcW w:w="85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15</w:t>
            </w:r>
          </w:p>
        </w:tc>
        <w:tc>
          <w:tcPr>
            <w:tcW w:w="172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心理健康类</w:t>
            </w:r>
          </w:p>
        </w:tc>
        <w:tc>
          <w:tcPr>
            <w:tcW w:w="6888" w:type="dxa"/>
            <w:gridSpan w:val="2"/>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教育学、心理健康教育、心理学、应用心理学、心理咨询、心理咨询与心理健康教育、心理咨询学、基础心理学、教育心理学、心理咨询与教育、发展与教育心理学等相关专业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05" w:hRule="atLeast"/>
        </w:trPr>
        <w:tc>
          <w:tcPr>
            <w:tcW w:w="85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16</w:t>
            </w:r>
          </w:p>
        </w:tc>
        <w:tc>
          <w:tcPr>
            <w:tcW w:w="172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科学类</w:t>
            </w:r>
          </w:p>
        </w:tc>
        <w:tc>
          <w:tcPr>
            <w:tcW w:w="6888" w:type="dxa"/>
            <w:gridSpan w:val="2"/>
            <w:vMerge w:val="restart"/>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科学教育、海洋科学、大气科学、天文学等相关专业，物理类、化学类、生物类、地理类对应专业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05" w:hRule="atLeast"/>
        </w:trPr>
        <w:tc>
          <w:tcPr>
            <w:tcW w:w="85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17</w:t>
            </w:r>
          </w:p>
        </w:tc>
        <w:tc>
          <w:tcPr>
            <w:tcW w:w="172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综合实践活动类</w:t>
            </w:r>
          </w:p>
        </w:tc>
        <w:tc>
          <w:tcPr>
            <w:tcW w:w="6888" w:type="dxa"/>
            <w:gridSpan w:val="2"/>
            <w:vMerge w:val="continue"/>
            <w:tcBorders>
              <w:top w:val="nil"/>
              <w:left w:val="nil"/>
              <w:bottom w:val="nil"/>
              <w:right w:val="nil"/>
            </w:tcBorders>
            <w:shd w:val="clear"/>
            <w:tcMar>
              <w:left w:w="105" w:type="dxa"/>
              <w:right w:w="105" w:type="dxa"/>
            </w:tcMar>
            <w:vAlign w:val="center"/>
          </w:tcPr>
          <w:p>
            <w:pPr>
              <w:rPr>
                <w:rFonts w:hint="eastAsia" w:ascii="微软雅黑" w:hAnsi="微软雅黑" w:eastAsia="微软雅黑" w:cs="微软雅黑"/>
                <w:b w:val="0"/>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80" w:hRule="atLeast"/>
        </w:trPr>
        <w:tc>
          <w:tcPr>
            <w:tcW w:w="85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18</w:t>
            </w:r>
          </w:p>
        </w:tc>
        <w:tc>
          <w:tcPr>
            <w:tcW w:w="172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通用技术类</w:t>
            </w:r>
          </w:p>
        </w:tc>
        <w:tc>
          <w:tcPr>
            <w:tcW w:w="6888" w:type="dxa"/>
            <w:gridSpan w:val="2"/>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物理类对应专业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65" w:hRule="atLeast"/>
        </w:trPr>
        <w:tc>
          <w:tcPr>
            <w:tcW w:w="852" w:type="dxa"/>
            <w:vMerge w:val="restart"/>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19</w:t>
            </w:r>
          </w:p>
        </w:tc>
        <w:tc>
          <w:tcPr>
            <w:tcW w:w="1725" w:type="dxa"/>
            <w:vMerge w:val="restart"/>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学前教育类</w:t>
            </w:r>
          </w:p>
        </w:tc>
        <w:tc>
          <w:tcPr>
            <w:tcW w:w="1416" w:type="dxa"/>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中专学历</w:t>
            </w:r>
          </w:p>
        </w:tc>
        <w:tc>
          <w:tcPr>
            <w:tcW w:w="547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学前教育、学前双语教育、幼儿教育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95" w:hRule="atLeast"/>
        </w:trPr>
        <w:tc>
          <w:tcPr>
            <w:tcW w:w="852" w:type="dxa"/>
            <w:vMerge w:val="continue"/>
            <w:tcBorders>
              <w:top w:val="nil"/>
              <w:left w:val="nil"/>
              <w:bottom w:val="nil"/>
              <w:right w:val="nil"/>
            </w:tcBorders>
            <w:shd w:val="clear"/>
            <w:tcMar>
              <w:left w:w="105" w:type="dxa"/>
              <w:right w:w="105" w:type="dxa"/>
            </w:tcMar>
            <w:vAlign w:val="center"/>
          </w:tcPr>
          <w:p>
            <w:pPr>
              <w:rPr>
                <w:rFonts w:hint="eastAsia" w:ascii="微软雅黑" w:hAnsi="微软雅黑" w:eastAsia="微软雅黑" w:cs="微软雅黑"/>
                <w:b w:val="0"/>
                <w:i w:val="0"/>
                <w:caps w:val="0"/>
                <w:color w:val="000000"/>
                <w:spacing w:val="0"/>
                <w:sz w:val="19"/>
                <w:szCs w:val="19"/>
              </w:rPr>
            </w:pPr>
          </w:p>
        </w:tc>
        <w:tc>
          <w:tcPr>
            <w:tcW w:w="1725" w:type="dxa"/>
            <w:vMerge w:val="continue"/>
            <w:tcBorders>
              <w:top w:val="nil"/>
              <w:left w:val="nil"/>
              <w:bottom w:val="nil"/>
              <w:right w:val="nil"/>
            </w:tcBorders>
            <w:shd w:val="clear"/>
            <w:tcMar>
              <w:left w:w="105" w:type="dxa"/>
              <w:right w:w="105" w:type="dxa"/>
            </w:tcMar>
            <w:vAlign w:val="center"/>
          </w:tcPr>
          <w:p>
            <w:pPr>
              <w:rPr>
                <w:rFonts w:hint="eastAsia" w:ascii="微软雅黑" w:hAnsi="微软雅黑" w:eastAsia="微软雅黑" w:cs="微软雅黑"/>
                <w:b w:val="0"/>
                <w:i w:val="0"/>
                <w:caps w:val="0"/>
                <w:color w:val="000000"/>
                <w:spacing w:val="0"/>
                <w:sz w:val="19"/>
                <w:szCs w:val="19"/>
              </w:rPr>
            </w:pPr>
          </w:p>
        </w:tc>
        <w:tc>
          <w:tcPr>
            <w:tcW w:w="1416"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大专及以上学历</w:t>
            </w:r>
          </w:p>
        </w:tc>
        <w:tc>
          <w:tcPr>
            <w:tcW w:w="547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师范类专业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30" w:hRule="atLeast"/>
        </w:trPr>
        <w:tc>
          <w:tcPr>
            <w:tcW w:w="852"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20</w:t>
            </w:r>
          </w:p>
        </w:tc>
        <w:tc>
          <w:tcPr>
            <w:tcW w:w="172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jc w:val="center"/>
              <w:rPr>
                <w:sz w:val="21"/>
                <w:szCs w:val="21"/>
              </w:rPr>
            </w:pPr>
            <w:r>
              <w:rPr>
                <w:rFonts w:hint="eastAsia" w:ascii="宋体" w:hAnsi="宋体" w:eastAsia="宋体" w:cs="宋体"/>
                <w:b w:val="0"/>
                <w:i w:val="0"/>
                <w:caps w:val="0"/>
                <w:color w:val="000000"/>
                <w:spacing w:val="0"/>
                <w:sz w:val="22"/>
                <w:szCs w:val="22"/>
                <w:bdr w:val="none" w:color="auto" w:sz="0" w:space="0"/>
              </w:rPr>
              <w:t>小学数学</w:t>
            </w:r>
          </w:p>
        </w:tc>
        <w:tc>
          <w:tcPr>
            <w:tcW w:w="6888" w:type="dxa"/>
            <w:gridSpan w:val="2"/>
            <w:tcBorders>
              <w:top w:val="nil"/>
              <w:left w:val="nil"/>
              <w:bottom w:val="nil"/>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420"/>
              <w:rPr>
                <w:sz w:val="21"/>
                <w:szCs w:val="21"/>
              </w:rPr>
            </w:pPr>
            <w:r>
              <w:rPr>
                <w:rFonts w:hint="eastAsia" w:ascii="宋体" w:hAnsi="宋体" w:eastAsia="宋体" w:cs="宋体"/>
                <w:b w:val="0"/>
                <w:i w:val="0"/>
                <w:caps w:val="0"/>
                <w:color w:val="000000"/>
                <w:spacing w:val="0"/>
                <w:sz w:val="19"/>
                <w:szCs w:val="19"/>
                <w:bdr w:val="none" w:color="auto" w:sz="0" w:space="0"/>
              </w:rPr>
              <w:t>数学类、物理类、化学类、计算机类对应专业</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645"/>
        <w:rPr>
          <w:rFonts w:hint="eastAsia" w:ascii="微软雅黑" w:hAnsi="微软雅黑" w:eastAsia="微软雅黑" w:cs="微软雅黑"/>
          <w:b w:val="0"/>
          <w:i w:val="0"/>
          <w:caps w:val="0"/>
          <w:color w:val="000000"/>
          <w:spacing w:val="0"/>
          <w:sz w:val="21"/>
          <w:szCs w:val="21"/>
        </w:rPr>
      </w:pPr>
      <w:r>
        <w:rPr>
          <w:rStyle w:val="4"/>
          <w:rFonts w:hint="eastAsia" w:ascii="仿宋" w:hAnsi="仿宋" w:eastAsia="仿宋" w:cs="仿宋"/>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420"/>
        <w:jc w:val="center"/>
        <w:rPr>
          <w:rFonts w:hint="eastAsia" w:ascii="微软雅黑" w:hAnsi="微软雅黑" w:eastAsia="微软雅黑" w:cs="微软雅黑"/>
          <w:b w:val="0"/>
          <w:i w:val="0"/>
          <w:caps w:val="0"/>
          <w:color w:val="000000"/>
          <w:spacing w:val="0"/>
          <w:sz w:val="21"/>
          <w:szCs w:val="21"/>
        </w:rPr>
      </w:pPr>
      <w:r>
        <w:rPr>
          <w:rStyle w:val="4"/>
          <w:rFonts w:hint="eastAsia" w:ascii="宋体" w:hAnsi="宋体" w:eastAsia="宋体" w:cs="宋体"/>
          <w:i w:val="0"/>
          <w:caps w:val="0"/>
          <w:color w:val="000000"/>
          <w:spacing w:val="0"/>
          <w:sz w:val="36"/>
          <w:szCs w:val="36"/>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420"/>
        <w:jc w:val="center"/>
        <w:rPr>
          <w:rFonts w:hint="eastAsia" w:ascii="微软雅黑" w:hAnsi="微软雅黑" w:eastAsia="微软雅黑" w:cs="微软雅黑"/>
          <w:b w:val="0"/>
          <w:i w:val="0"/>
          <w:caps w:val="0"/>
          <w:color w:val="000000"/>
          <w:spacing w:val="0"/>
          <w:sz w:val="21"/>
          <w:szCs w:val="21"/>
        </w:rPr>
      </w:pPr>
      <w:r>
        <w:rPr>
          <w:rStyle w:val="4"/>
          <w:rFonts w:hint="eastAsia" w:ascii="宋体" w:hAnsi="宋体" w:eastAsia="宋体" w:cs="宋体"/>
          <w:i w:val="0"/>
          <w:caps w:val="0"/>
          <w:color w:val="000000"/>
          <w:spacing w:val="0"/>
          <w:sz w:val="36"/>
          <w:szCs w:val="36"/>
          <w:bdr w:val="none" w:color="auto" w:sz="0" w:space="0"/>
        </w:rPr>
        <w:t>新疆昌吉州玛纳斯县简介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 w:hAnsi="仿宋" w:eastAsia="仿宋" w:cs="仿宋"/>
          <w:b w:val="0"/>
          <w:i w:val="0"/>
          <w:caps w:val="0"/>
          <w:color w:val="000000"/>
          <w:spacing w:val="0"/>
          <w:sz w:val="31"/>
          <w:szCs w:val="31"/>
          <w:bdr w:val="none" w:color="auto" w:sz="0" w:space="0"/>
        </w:rPr>
        <w:t>玛纳斯县隶属于新疆维吾尔自治区昌吉回族自治州，位于天山北坡经济带的中心地段，古称绥来县，有凤凰城的美誉。玛纳斯县东距首府乌鲁木齐市135公里，西距石河子市15公里。北疆铁路、乌奎高速公路、国道312线横贯全境，交通和区位优势明显，属乌鲁木齐1小时经济圈。全县总面积1.1万平方公里，辖七镇四乡两场一站和一个自治区级工业园区，有5个驻县团场，总人口28万人，其中汉族人口占80%以上。综合经济实力位居西部百强县行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 w:hAnsi="仿宋" w:eastAsia="仿宋" w:cs="仿宋"/>
          <w:b w:val="0"/>
          <w:i w:val="0"/>
          <w:caps w:val="0"/>
          <w:color w:val="000000"/>
          <w:spacing w:val="0"/>
          <w:sz w:val="31"/>
          <w:szCs w:val="31"/>
          <w:bdr w:val="none" w:color="auto" w:sz="0" w:space="0"/>
        </w:rPr>
        <w:t>玛纳斯县水土光热条件优越，盛产棉花、加工番茄、酿酒葡萄、制种玉米等特色农产品，曾被国家授予“中国优质棉花之乡”、“中国优质酿酒葡萄之乡”、“中国优质加工番茄之乡”的称号。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 w:hAnsi="仿宋" w:eastAsia="仿宋" w:cs="仿宋"/>
          <w:b w:val="0"/>
          <w:i w:val="0"/>
          <w:caps w:val="0"/>
          <w:color w:val="000000"/>
          <w:spacing w:val="0"/>
          <w:sz w:val="31"/>
          <w:szCs w:val="31"/>
          <w:bdr w:val="none" w:color="auto" w:sz="0" w:space="0"/>
        </w:rPr>
        <w:t>今后玛纳斯县的经济社会发展将以“率先跨越、富民强县”为主题、现代文化为引领，按照“提质增效、重点突破”的新要求，打响中国碧玉之都、国家湿地公园、国家森林公园、国际葡萄酒庄四张名片，构建全疆特色高效农业示范区、统筹城乡发展先行区，打造绿色、生态、宜居、水城，推进“三个率先”、“三大跨越”，努力实现“均衡凤城、幸福玛纳斯”的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420"/>
        <w:jc w:val="center"/>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28"/>
          <w:szCs w:val="28"/>
          <w:bdr w:val="none" w:color="auto" w:sz="0" w:space="0"/>
        </w:rPr>
        <w:t>（了解更多信息请登录玛纳斯县政府网：</w:t>
      </w:r>
      <w:r>
        <w:rPr>
          <w:rFonts w:hint="eastAsia" w:ascii="微软雅黑" w:hAnsi="微软雅黑" w:eastAsia="微软雅黑" w:cs="微软雅黑"/>
          <w:b w:val="0"/>
          <w:i w:val="0"/>
          <w:caps w:val="0"/>
          <w:color w:val="353535"/>
          <w:spacing w:val="0"/>
          <w:sz w:val="19"/>
          <w:szCs w:val="19"/>
          <w:u w:val="none"/>
          <w:bdr w:val="none" w:color="auto" w:sz="0" w:space="0"/>
        </w:rPr>
        <w:fldChar w:fldCharType="begin"/>
      </w:r>
      <w:r>
        <w:rPr>
          <w:rFonts w:hint="eastAsia" w:ascii="微软雅黑" w:hAnsi="微软雅黑" w:eastAsia="微软雅黑" w:cs="微软雅黑"/>
          <w:b w:val="0"/>
          <w:i w:val="0"/>
          <w:caps w:val="0"/>
          <w:color w:val="353535"/>
          <w:spacing w:val="0"/>
          <w:sz w:val="19"/>
          <w:szCs w:val="19"/>
          <w:u w:val="none"/>
          <w:bdr w:val="none" w:color="auto" w:sz="0" w:space="0"/>
        </w:rPr>
        <w:instrText xml:space="preserve"> HYPERLINK "http://www.mns.gov.cn/" </w:instrText>
      </w:r>
      <w:r>
        <w:rPr>
          <w:rFonts w:hint="eastAsia" w:ascii="微软雅黑" w:hAnsi="微软雅黑" w:eastAsia="微软雅黑" w:cs="微软雅黑"/>
          <w:b w:val="0"/>
          <w:i w:val="0"/>
          <w:caps w:val="0"/>
          <w:color w:val="353535"/>
          <w:spacing w:val="0"/>
          <w:sz w:val="19"/>
          <w:szCs w:val="19"/>
          <w:u w:val="none"/>
          <w:bdr w:val="none" w:color="auto" w:sz="0" w:space="0"/>
        </w:rPr>
        <w:fldChar w:fldCharType="separate"/>
      </w:r>
      <w:r>
        <w:rPr>
          <w:rStyle w:val="6"/>
          <w:rFonts w:hint="eastAsia" w:ascii="微软雅黑" w:hAnsi="微软雅黑" w:eastAsia="微软雅黑" w:cs="微软雅黑"/>
          <w:b w:val="0"/>
          <w:i w:val="0"/>
          <w:caps w:val="0"/>
          <w:color w:val="353535"/>
          <w:spacing w:val="0"/>
          <w:sz w:val="19"/>
          <w:szCs w:val="19"/>
          <w:u w:val="none"/>
          <w:bdr w:val="none" w:color="auto" w:sz="0" w:space="0"/>
        </w:rPr>
        <w:t>http://www.mns.gov.cn/</w:t>
      </w:r>
      <w:r>
        <w:rPr>
          <w:rFonts w:hint="eastAsia" w:ascii="微软雅黑" w:hAnsi="微软雅黑" w:eastAsia="微软雅黑" w:cs="微软雅黑"/>
          <w:b w:val="0"/>
          <w:i w:val="0"/>
          <w:caps w:val="0"/>
          <w:color w:val="353535"/>
          <w:spacing w:val="0"/>
          <w:sz w:val="19"/>
          <w:szCs w:val="19"/>
          <w:u w:val="none"/>
          <w:bdr w:val="none" w:color="auto" w:sz="0" w:space="0"/>
        </w:rPr>
        <w:fldChar w:fldCharType="end"/>
      </w:r>
      <w:r>
        <w:rPr>
          <w:rFonts w:hint="eastAsia" w:ascii="仿宋_GB2312" w:hAnsi="微软雅黑" w:eastAsia="仿宋_GB2312" w:cs="仿宋_GB2312"/>
          <w:b w:val="0"/>
          <w:i w:val="0"/>
          <w:caps w:val="0"/>
          <w:color w:val="000000"/>
          <w:spacing w:val="0"/>
          <w:sz w:val="28"/>
          <w:szCs w:val="28"/>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420"/>
        <w:jc w:val="center"/>
        <w:rPr>
          <w:rFonts w:hint="eastAsia" w:ascii="微软雅黑" w:hAnsi="微软雅黑" w:eastAsia="微软雅黑" w:cs="微软雅黑"/>
          <w:b w:val="0"/>
          <w:i w:val="0"/>
          <w:caps w:val="0"/>
          <w:color w:val="000000"/>
          <w:spacing w:val="0"/>
          <w:sz w:val="21"/>
          <w:szCs w:val="21"/>
        </w:rPr>
      </w:pPr>
      <w:r>
        <w:rPr>
          <w:rStyle w:val="4"/>
          <w:rFonts w:hint="eastAsia" w:ascii="宋体" w:hAnsi="宋体" w:eastAsia="宋体" w:cs="宋体"/>
          <w:i w:val="0"/>
          <w:caps w:val="0"/>
          <w:color w:val="000000"/>
          <w:spacing w:val="0"/>
          <w:sz w:val="36"/>
          <w:szCs w:val="36"/>
          <w:bdr w:val="none" w:color="auto" w:sz="0" w:space="0"/>
        </w:rPr>
        <w:t>新疆昌吉州玛纳斯县教育事业发展情况简介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 w:hAnsi="仿宋" w:eastAsia="仿宋" w:cs="仿宋"/>
          <w:b w:val="0"/>
          <w:i w:val="0"/>
          <w:caps w:val="0"/>
          <w:color w:val="000000"/>
          <w:spacing w:val="0"/>
          <w:sz w:val="31"/>
          <w:szCs w:val="31"/>
          <w:bdr w:val="none" w:color="auto" w:sz="0" w:space="0"/>
        </w:rPr>
        <w:t>玛纳斯县有</w:t>
      </w:r>
      <w:r>
        <w:rPr>
          <w:rFonts w:hint="eastAsia" w:ascii="仿宋_GB2312" w:hAnsi="微软雅黑" w:eastAsia="仿宋_GB2312" w:cs="仿宋_GB2312"/>
          <w:b w:val="0"/>
          <w:i w:val="0"/>
          <w:caps w:val="0"/>
          <w:color w:val="000000"/>
          <w:spacing w:val="0"/>
          <w:sz w:val="31"/>
          <w:szCs w:val="31"/>
          <w:bdr w:val="none" w:color="auto" w:sz="0" w:space="0"/>
        </w:rPr>
        <w:t>各级各类学校53所。其中中等职业技术学校1所、普通高中1所、初级中学3所、九年一贯制学校3所、小学13所、幼儿园32所；全县教职工1946人；在校生19035人。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 w:hAnsi="仿宋" w:eastAsia="仿宋" w:cs="仿宋"/>
          <w:b w:val="0"/>
          <w:i w:val="0"/>
          <w:caps w:val="0"/>
          <w:color w:val="000000"/>
          <w:spacing w:val="0"/>
          <w:sz w:val="31"/>
          <w:szCs w:val="31"/>
          <w:bdr w:val="none" w:color="auto" w:sz="0" w:space="0"/>
        </w:rPr>
        <w:t>近年来，玛纳斯县坚持把教育摆在优先发展的战略地位不动摇，明确提出教育“创强县，争一流，率先实现现代化”的目标，不断加大教育投入，倾力改善办学条件，教育事业实现跨越式的大发展，取得显著的成绩。玛纳斯县教育工作连续多年被昌吉州人民政府命名为创教育强县（市）优秀单位，先后被命名为自治区基础教育改革实验先进试验区、自治区教育系统先进集体、自治区规范教育收费示范县、自治区首批农牧区基础教育课程改革项目县、自治区教育体制改革试点项目县、全国农村教育先进单位、国家义务教育均衡发展标准研究试点县。玛纳斯县已构建了一个有利于青少年发展的素质教育体系和社会化开放式的现代化教育体系，为教育的发展奠定了良好的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45"/>
        <w:rPr>
          <w:rFonts w:hint="eastAsia" w:ascii="微软雅黑" w:hAnsi="微软雅黑" w:eastAsia="微软雅黑" w:cs="微软雅黑"/>
          <w:b w:val="0"/>
          <w:i w:val="0"/>
          <w:caps w:val="0"/>
          <w:color w:val="000000"/>
          <w:spacing w:val="0"/>
          <w:sz w:val="21"/>
          <w:szCs w:val="21"/>
        </w:rPr>
      </w:pPr>
      <w:r>
        <w:rPr>
          <w:rFonts w:hint="eastAsia" w:ascii="仿宋" w:hAnsi="仿宋" w:eastAsia="仿宋" w:cs="仿宋"/>
          <w:b w:val="0"/>
          <w:i w:val="0"/>
          <w:caps w:val="0"/>
          <w:color w:val="000000"/>
          <w:spacing w:val="0"/>
          <w:sz w:val="31"/>
          <w:szCs w:val="31"/>
          <w:bdr w:val="none" w:color="auto" w:sz="0" w:space="0"/>
        </w:rPr>
        <w:t>今后我们将按照“学前教育抓覆盖、义务教育抓提升、高中教育抓质量、职业教育抓产业对接”的工作思路，开拓创新，树立“大发展、敢突破、争一流”的工作思路，切实采取行之有效的措施，凝聚力量，倾注全力，深化改革，加快推进教育跨越式发展。</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240085"/>
    <w:rsid w:val="772400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333333"/>
      <w:u w:val="none"/>
    </w:rPr>
  </w:style>
  <w:style w:type="character" w:styleId="6">
    <w:name w:val="Hyperlink"/>
    <w:basedOn w:val="3"/>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Office_10.1.0.7311_F1E327BC-269C-435d-A152-05C5408002CA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2018-05-01T02:46:00Z</dcterms:created>
  <dc:creator>水无鱼</dc:creator>
  <cp:lastModifiedBy>水无鱼</cp:lastModifiedBy>
  <dcterms:modified xsi:type="dcterms:W3CDTF">2018-05-01T03:05:08Z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ies>
</file>