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</w:pPr>
      <w:r>
        <w:t>窗体顶端</w:t>
      </w:r>
    </w:p>
    <w:p>
      <w:pPr>
        <w:keepNext w:val="0"/>
        <w:keepLines w:val="0"/>
        <w:widowControl/>
        <w:suppressLineNumbers w:val="0"/>
        <w:snapToGrid w:val="0"/>
        <w:spacing w:before="150" w:beforeAutospacing="0" w:after="150" w:afterAutospacing="0" w:line="330" w:lineRule="atLeast"/>
        <w:ind w:left="0" w:right="0" w:firstLine="525"/>
        <w:jc w:val="left"/>
        <w:rPr>
          <w:color w:val="505050"/>
        </w:rPr>
      </w:pPr>
      <w:r>
        <w:rPr>
          <w:rFonts w:ascii="黑体" w:hAnsi="宋体" w:eastAsia="黑体" w:cs="黑体"/>
          <w:color w:val="505050"/>
          <w:kern w:val="0"/>
          <w:sz w:val="32"/>
          <w:szCs w:val="32"/>
          <w:lang w:val="en-US" w:eastAsia="zh-CN" w:bidi="ar"/>
        </w:rPr>
        <w:t>招聘岗位</w:t>
      </w:r>
    </w:p>
    <w:tbl>
      <w:tblPr>
        <w:tblW w:w="8266" w:type="dxa"/>
        <w:jc w:val="center"/>
        <w:tblInd w:w="1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74"/>
        <w:gridCol w:w="851"/>
        <w:gridCol w:w="2136"/>
        <w:gridCol w:w="24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28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0" w:right="0" w:firstLine="0"/>
              <w:jc w:val="center"/>
              <w:rPr>
                <w:color w:val="505050"/>
              </w:rPr>
            </w:pPr>
            <w:r>
              <w:rPr>
                <w:rFonts w:hint="eastAsia" w:ascii="黑体" w:hAnsi="宋体" w:eastAsia="黑体" w:cs="黑体"/>
                <w:color w:val="50505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0" w:right="0" w:firstLine="0"/>
              <w:jc w:val="center"/>
              <w:rPr>
                <w:color w:val="505050"/>
              </w:rPr>
            </w:pPr>
            <w:r>
              <w:rPr>
                <w:rFonts w:hint="eastAsia" w:ascii="黑体" w:hAnsi="宋体" w:eastAsia="黑体" w:cs="黑体"/>
                <w:color w:val="505050"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21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0" w:right="0" w:firstLine="0"/>
              <w:jc w:val="center"/>
              <w:rPr>
                <w:color w:val="505050"/>
              </w:rPr>
            </w:pPr>
            <w:r>
              <w:rPr>
                <w:rFonts w:hint="eastAsia" w:ascii="黑体" w:hAnsi="宋体" w:eastAsia="黑体" w:cs="黑体"/>
                <w:color w:val="505050"/>
                <w:kern w:val="0"/>
                <w:sz w:val="24"/>
                <w:szCs w:val="24"/>
                <w:lang w:val="en-US" w:eastAsia="zh-CN" w:bidi="ar"/>
              </w:rPr>
              <w:t>学历要求</w:t>
            </w:r>
          </w:p>
        </w:tc>
        <w:tc>
          <w:tcPr>
            <w:tcW w:w="24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0" w:right="0" w:firstLine="0"/>
              <w:jc w:val="center"/>
              <w:rPr>
                <w:color w:val="505050"/>
              </w:rPr>
            </w:pPr>
            <w:r>
              <w:rPr>
                <w:rFonts w:hint="eastAsia" w:ascii="黑体" w:hAnsi="宋体" w:eastAsia="黑体" w:cs="黑体"/>
                <w:color w:val="505050"/>
                <w:kern w:val="0"/>
                <w:sz w:val="24"/>
                <w:szCs w:val="24"/>
                <w:lang w:val="en-US" w:eastAsia="zh-CN" w:bidi="ar"/>
              </w:rPr>
              <w:t>专业方向要求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0" w:right="0" w:firstLine="0"/>
              <w:jc w:val="center"/>
              <w:rPr>
                <w:color w:val="505050"/>
              </w:rPr>
            </w:pPr>
            <w:bookmarkStart w:id="0" w:name="OLE_LINK6"/>
            <w:bookmarkEnd w:id="0"/>
            <w:bookmarkStart w:id="1" w:name="OLE_LINK5"/>
            <w:r>
              <w:rPr>
                <w:rFonts w:ascii="仿宋" w:hAnsi="仿宋" w:eastAsia="仿宋" w:cs="仿宋"/>
                <w:color w:val="505050"/>
                <w:kern w:val="0"/>
                <w:sz w:val="24"/>
                <w:szCs w:val="24"/>
                <w:lang w:val="en-US" w:eastAsia="zh-CN" w:bidi="ar"/>
              </w:rPr>
              <w:t>杨晓勇团队教师岗位</w:t>
            </w:r>
            <w:bookmarkEnd w:id="1"/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0" w:right="0" w:firstLine="0"/>
              <w:jc w:val="center"/>
              <w:rPr>
                <w:color w:val="505050"/>
              </w:rPr>
            </w:pPr>
            <w:r>
              <w:rPr>
                <w:rFonts w:hint="eastAsia" w:ascii="仿宋" w:hAnsi="仿宋" w:eastAsia="仿宋" w:cs="仿宋"/>
                <w:color w:val="50505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0" w:right="0" w:firstLine="0"/>
              <w:jc w:val="center"/>
              <w:rPr>
                <w:color w:val="505050"/>
              </w:rPr>
            </w:pPr>
            <w:r>
              <w:rPr>
                <w:rFonts w:hint="eastAsia" w:ascii="仿宋" w:hAnsi="仿宋" w:eastAsia="仿宋" w:cs="仿宋"/>
                <w:color w:val="505050"/>
                <w:kern w:val="0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0" w:right="0" w:firstLine="0"/>
              <w:jc w:val="center"/>
              <w:rPr>
                <w:color w:val="505050"/>
              </w:rPr>
            </w:pPr>
            <w:r>
              <w:rPr>
                <w:rFonts w:hint="eastAsia" w:ascii="仿宋" w:hAnsi="仿宋" w:eastAsia="仿宋" w:cs="仿宋"/>
                <w:color w:val="505050"/>
                <w:kern w:val="0"/>
                <w:sz w:val="24"/>
                <w:szCs w:val="24"/>
                <w:lang w:val="en-US" w:eastAsia="zh-CN" w:bidi="ar"/>
              </w:rPr>
              <w:t>生物学、基础医学等相关专业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87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0" w:right="0" w:firstLine="0"/>
              <w:jc w:val="center"/>
              <w:rPr>
                <w:color w:val="505050"/>
              </w:rPr>
            </w:pPr>
            <w:r>
              <w:rPr>
                <w:rFonts w:hint="eastAsia" w:ascii="仿宋" w:hAnsi="仿宋" w:eastAsia="仿宋" w:cs="仿宋"/>
                <w:color w:val="505050"/>
                <w:kern w:val="0"/>
                <w:sz w:val="24"/>
                <w:szCs w:val="24"/>
                <w:lang w:val="en-US" w:eastAsia="zh-CN" w:bidi="ar"/>
              </w:rPr>
              <w:t>杨晓勇团队实验技术岗位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0" w:right="0" w:firstLine="0"/>
              <w:jc w:val="center"/>
              <w:rPr>
                <w:color w:val="505050"/>
              </w:rPr>
            </w:pPr>
            <w:r>
              <w:rPr>
                <w:rFonts w:hint="eastAsia" w:ascii="仿宋" w:hAnsi="仿宋" w:eastAsia="仿宋" w:cs="仿宋"/>
                <w:color w:val="50505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0" w:right="0" w:firstLine="0"/>
              <w:jc w:val="center"/>
              <w:rPr>
                <w:color w:val="505050"/>
              </w:rPr>
            </w:pPr>
            <w:r>
              <w:rPr>
                <w:rFonts w:hint="eastAsia" w:ascii="仿宋" w:hAnsi="仿宋" w:eastAsia="仿宋" w:cs="仿宋"/>
                <w:color w:val="505050"/>
                <w:kern w:val="0"/>
                <w:sz w:val="24"/>
                <w:szCs w:val="24"/>
                <w:lang w:val="en-US" w:eastAsia="zh-CN" w:bidi="ar"/>
              </w:rPr>
              <w:t>硕士研究生及以上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30" w:lineRule="atLeast"/>
              <w:ind w:left="0" w:right="0" w:firstLine="0"/>
              <w:jc w:val="center"/>
              <w:rPr>
                <w:color w:val="505050"/>
              </w:rPr>
            </w:pPr>
            <w:r>
              <w:rPr>
                <w:rFonts w:hint="eastAsia" w:ascii="仿宋" w:hAnsi="仿宋" w:eastAsia="仿宋" w:cs="仿宋"/>
                <w:color w:val="505050"/>
                <w:kern w:val="0"/>
                <w:sz w:val="24"/>
                <w:szCs w:val="24"/>
                <w:lang w:val="en-US" w:eastAsia="zh-CN" w:bidi="ar"/>
              </w:rPr>
              <w:t>生物学、基础医学、药学等相关专业</w:t>
            </w:r>
          </w:p>
        </w:tc>
      </w:tr>
    </w:tbl>
    <w:p>
      <w:pPr>
        <w:pStyle w:val="6"/>
      </w:pPr>
      <w:r>
        <w:t>窗体底端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5D21D3"/>
    <w:rsid w:val="275D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333333"/>
      <w:u w:val="none"/>
    </w:rPr>
  </w:style>
  <w:style w:type="paragraph" w:styleId="5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6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2018-05-29T04:00:00Z</dcterms:created>
  <dc:creator>Administrator</dc:creator>
  <cp:lastModifiedBy>Administrator</cp:lastModifiedBy>
  <dcterms:modified xsi:type="dcterms:W3CDTF">2018-05-29T04:00:57Z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