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180" w:type="dxa"/>
        <w:tblInd w:w="0" w:type="dxa"/>
        <w:shd w:val="clear"/>
        <w:tblLayout w:type="fixed"/>
        <w:tblCellMar>
          <w:top w:w="0" w:type="dxa"/>
          <w:left w:w="0" w:type="dxa"/>
          <w:bottom w:w="0" w:type="dxa"/>
          <w:right w:w="0" w:type="dxa"/>
        </w:tblCellMar>
      </w:tblPr>
      <w:tblGrid>
        <w:gridCol w:w="702"/>
        <w:gridCol w:w="424"/>
        <w:gridCol w:w="425"/>
        <w:gridCol w:w="453"/>
        <w:gridCol w:w="864"/>
        <w:gridCol w:w="497"/>
        <w:gridCol w:w="1259"/>
        <w:gridCol w:w="1434"/>
        <w:gridCol w:w="1522"/>
        <w:gridCol w:w="600"/>
      </w:tblGrid>
      <w:tr>
        <w:tblPrEx>
          <w:shd w:val="clear"/>
          <w:tblLayout w:type="fixed"/>
          <w:tblCellMar>
            <w:top w:w="0" w:type="dxa"/>
            <w:left w:w="0" w:type="dxa"/>
            <w:bottom w:w="0" w:type="dxa"/>
            <w:right w:w="0" w:type="dxa"/>
          </w:tblCellMar>
        </w:tblPrEx>
        <w:trPr>
          <w:trHeight w:val="911" w:hRule="atLeast"/>
        </w:trPr>
        <w:tc>
          <w:tcPr>
            <w:tcW w:w="8180" w:type="dxa"/>
            <w:gridSpan w:val="10"/>
            <w:shd w:val="clear"/>
            <w:vAlign w:val="center"/>
          </w:tcPr>
          <w:p>
            <w:pPr>
              <w:keepNext w:val="0"/>
              <w:keepLines w:val="0"/>
              <w:widowControl/>
              <w:suppressLineNumbers w:val="0"/>
              <w:spacing w:line="330" w:lineRule="atLeast"/>
              <w:jc w:val="left"/>
              <w:rPr>
                <w:rFonts w:ascii="微软雅黑" w:hAnsi="微软雅黑" w:eastAsia="微软雅黑" w:cs="微软雅黑"/>
                <w:color w:val="333333"/>
                <w:sz w:val="18"/>
                <w:szCs w:val="18"/>
              </w:rPr>
            </w:pPr>
            <w:bookmarkStart w:id="1" w:name="_GoBack"/>
            <w:bookmarkStart w:id="0" w:name="RANGE!A1:K14"/>
            <w:r>
              <w:rPr>
                <w:rFonts w:hint="eastAsia" w:ascii="微软雅黑" w:hAnsi="微软雅黑" w:eastAsia="微软雅黑" w:cs="微软雅黑"/>
                <w:color w:val="333333"/>
                <w:kern w:val="0"/>
                <w:sz w:val="18"/>
                <w:szCs w:val="18"/>
                <w:u w:val="none"/>
                <w:bdr w:val="none" w:color="auto" w:sz="0" w:space="0"/>
                <w:lang w:val="en-US" w:eastAsia="zh-CN" w:bidi="ar"/>
              </w:rPr>
              <w:t>保定市清苑区2018年公开招聘农村中小学教师岗位信息表</w:t>
            </w:r>
            <w:bookmarkEnd w:id="0"/>
          </w:p>
        </w:tc>
      </w:tr>
      <w:tr>
        <w:tblPrEx>
          <w:tblLayout w:type="fixed"/>
          <w:tblCellMar>
            <w:top w:w="0" w:type="dxa"/>
            <w:left w:w="0" w:type="dxa"/>
            <w:bottom w:w="0" w:type="dxa"/>
            <w:right w:w="0" w:type="dxa"/>
          </w:tblCellMar>
        </w:tblPrEx>
        <w:trPr>
          <w:trHeight w:val="504" w:hRule="atLeast"/>
        </w:trPr>
        <w:tc>
          <w:tcPr>
            <w:tcW w:w="702" w:type="dxa"/>
            <w:vMerge w:val="restart"/>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单位名称</w:t>
            </w:r>
          </w:p>
        </w:tc>
        <w:tc>
          <w:tcPr>
            <w:tcW w:w="424" w:type="dxa"/>
            <w:vMerge w:val="restart"/>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单位性质</w:t>
            </w:r>
          </w:p>
        </w:tc>
        <w:tc>
          <w:tcPr>
            <w:tcW w:w="425" w:type="dxa"/>
            <w:vMerge w:val="restart"/>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小计</w:t>
            </w:r>
          </w:p>
        </w:tc>
        <w:tc>
          <w:tcPr>
            <w:tcW w:w="453" w:type="dxa"/>
            <w:tcBorders>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c>
          <w:tcPr>
            <w:tcW w:w="6176" w:type="dxa"/>
            <w:gridSpan w:val="6"/>
            <w:tcBorders>
              <w:left w:val="nil"/>
              <w:right w:val="single" w:color="000000" w:sz="8" w:space="0"/>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招聘岗位条件</w:t>
            </w:r>
          </w:p>
        </w:tc>
      </w:tr>
      <w:tr>
        <w:tblPrEx>
          <w:tblLayout w:type="fixed"/>
          <w:tblCellMar>
            <w:top w:w="0" w:type="dxa"/>
            <w:left w:w="0" w:type="dxa"/>
            <w:bottom w:w="0" w:type="dxa"/>
            <w:right w:w="0" w:type="dxa"/>
          </w:tblCellMar>
        </w:tblPrEx>
        <w:trPr>
          <w:trHeight w:val="716"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shd w:val="clear"/>
            <w:vAlign w:val="center"/>
          </w:tcPr>
          <w:p>
            <w:pPr>
              <w:rPr>
                <w:rFonts w:hint="eastAsia" w:ascii="微软雅黑" w:hAnsi="微软雅黑" w:eastAsia="微软雅黑" w:cs="微软雅黑"/>
                <w:color w:val="333333"/>
                <w:sz w:val="18"/>
                <w:szCs w:val="18"/>
              </w:rPr>
            </w:pPr>
          </w:p>
        </w:tc>
        <w:tc>
          <w:tcPr>
            <w:tcW w:w="425" w:type="dxa"/>
            <w:vMerge w:val="continue"/>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岗位代码</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xml:space="preserve">岗位名称 </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招聘数量</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学历学位</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专业</w:t>
            </w:r>
          </w:p>
        </w:tc>
        <w:tc>
          <w:tcPr>
            <w:tcW w:w="1522"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其他条件</w:t>
            </w: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备注</w:t>
            </w:r>
          </w:p>
        </w:tc>
      </w:tr>
      <w:tr>
        <w:tblPrEx>
          <w:tblLayout w:type="fixed"/>
          <w:tblCellMar>
            <w:top w:w="0" w:type="dxa"/>
            <w:left w:w="0" w:type="dxa"/>
            <w:bottom w:w="0" w:type="dxa"/>
            <w:right w:w="0" w:type="dxa"/>
          </w:tblCellMar>
        </w:tblPrEx>
        <w:trPr>
          <w:trHeight w:val="716" w:hRule="atLeast"/>
        </w:trPr>
        <w:tc>
          <w:tcPr>
            <w:tcW w:w="702" w:type="dxa"/>
            <w:vMerge w:val="restart"/>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清苑区教育局</w:t>
            </w:r>
          </w:p>
        </w:tc>
        <w:tc>
          <w:tcPr>
            <w:tcW w:w="424" w:type="dxa"/>
            <w:vMerge w:val="restart"/>
            <w:tcBorders>
              <w:top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全额事业</w:t>
            </w:r>
          </w:p>
        </w:tc>
        <w:tc>
          <w:tcPr>
            <w:tcW w:w="425" w:type="dxa"/>
            <w:vMerge w:val="restart"/>
            <w:tcBorders>
              <w:top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160</w:t>
            </w: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01</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小学语文</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35</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全日制普通类专科及以上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专业不限</w:t>
            </w:r>
          </w:p>
        </w:tc>
        <w:tc>
          <w:tcPr>
            <w:tcW w:w="1522" w:type="dxa"/>
            <w:vMerge w:val="restart"/>
            <w:tcBorders>
              <w:top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1、符合招聘岗位所需教师资格、学历（毕业证、毕业生派遣证或报到证）、专业和技能条件；2、适应岗位要求的身体条件；3、年龄不超过30周岁（1987年6月1日以后出生），211院校毕业生及研究生以上学历，年龄可放宽至35周岁，即1982年6月1日及以后出生；4、2018年全日制普通类院校毕业生毕业证书未下发的需提供所在学校出具的学历、就业协议书等证明。5、户口本、身份证不能体现保定市、定州市、雄安新区原籍的，须提供乡、村两级证明；6、已参加教师资格考试，未取得教师资格证的，须提供有效的教师资格面试合格证，并于2019年2月1日前取得教师资格证。7、清苑区公办学校任教一年以上的顶岗教师报考小学岗位可放宽至非全日制专科及以上学历，且初始学历为全日制高中、职中、中专。</w:t>
            </w: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716"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02</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小学数学</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35</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全日制普通类专科及以上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专业不限</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716"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03</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小学英语</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30</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全日制普通类专科及以上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专业不限</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716"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04</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小学音乐</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10</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全日制普通类专科及以上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音乐学、音乐教育及相近专业</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716"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05</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小学体育</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10</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全日制普通类专科及以上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体育、体育教育及相近专业</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716"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06</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小学美术</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10</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全日制普通类专科及以上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美术、美术教育及相近专业</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716"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07</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中学语文</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6</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全日制普通类本科及以上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汉语言文学、语文教育及相近专业</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1790"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08</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中学数学</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6</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全日制普通类本科及以上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数学与应用数学、应用数学、基础数学、数学教育、数学、信息与计算科学、数理基础科学及相近专业</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834"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09</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中学英语</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6</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全日制普通类本科及以上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英语、英语教育、应用英语、旅游英语及相近专业</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1790"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10</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中学物理</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6</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全日制普通类本科及以上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物理学、物理教育、应用物理学、声学、工程物理、材料物理、工程力学、核物理、理论物理学及相近专业</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1432" w:hRule="atLeast"/>
        </w:trPr>
        <w:tc>
          <w:tcPr>
            <w:tcW w:w="702" w:type="dxa"/>
            <w:vMerge w:val="continue"/>
            <w:shd w:val="clear"/>
            <w:vAlign w:val="center"/>
          </w:tcPr>
          <w:p>
            <w:pPr>
              <w:rPr>
                <w:rFonts w:hint="eastAsia" w:ascii="微软雅黑" w:hAnsi="微软雅黑" w:eastAsia="微软雅黑" w:cs="微软雅黑"/>
                <w:color w:val="333333"/>
                <w:sz w:val="18"/>
                <w:szCs w:val="18"/>
              </w:rPr>
            </w:pPr>
          </w:p>
        </w:tc>
        <w:tc>
          <w:tcPr>
            <w:tcW w:w="424"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25"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453"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11</w:t>
            </w:r>
          </w:p>
        </w:tc>
        <w:tc>
          <w:tcPr>
            <w:tcW w:w="86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中学化学</w:t>
            </w:r>
          </w:p>
        </w:tc>
        <w:tc>
          <w:tcPr>
            <w:tcW w:w="497"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6</w:t>
            </w:r>
          </w:p>
        </w:tc>
        <w:tc>
          <w:tcPr>
            <w:tcW w:w="1259"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全日制普通类本科及以上</w:t>
            </w:r>
          </w:p>
        </w:tc>
        <w:tc>
          <w:tcPr>
            <w:tcW w:w="1434" w:type="dxa"/>
            <w:tcBorders>
              <w:top w:val="nil"/>
              <w:left w:val="nil"/>
            </w:tcBorders>
            <w:shd w:val="clear"/>
            <w:vAlign w:val="center"/>
          </w:tcPr>
          <w:p>
            <w:pPr>
              <w:keepNext w:val="0"/>
              <w:keepLines w:val="0"/>
              <w:widowControl/>
              <w:suppressLineNumbers w:val="0"/>
              <w:spacing w:line="330" w:lineRule="atLeast"/>
              <w:jc w:val="left"/>
              <w:rPr>
                <w:rFonts w:hint="eastAsia" w:ascii="微软雅黑" w:hAnsi="微软雅黑" w:eastAsia="微软雅黑" w:cs="微软雅黑"/>
                <w:color w:val="333333"/>
                <w:sz w:val="18"/>
                <w:szCs w:val="18"/>
              </w:rPr>
            </w:pPr>
            <w:r>
              <w:rPr>
                <w:rFonts w:hint="eastAsia" w:ascii="微软雅黑" w:hAnsi="微软雅黑" w:eastAsia="微软雅黑" w:cs="微软雅黑"/>
                <w:color w:val="333333"/>
                <w:kern w:val="0"/>
                <w:sz w:val="18"/>
                <w:szCs w:val="18"/>
                <w:bdr w:val="none" w:color="auto" w:sz="0" w:space="0"/>
                <w:lang w:val="en-US" w:eastAsia="zh-CN" w:bidi="ar"/>
              </w:rPr>
              <w:t>化学、化学教育、应用化学、化学生物学、分子科学与工程、有机化学、无机化学及相近专业</w:t>
            </w:r>
          </w:p>
        </w:tc>
        <w:tc>
          <w:tcPr>
            <w:tcW w:w="1522" w:type="dxa"/>
            <w:vMerge w:val="continue"/>
            <w:tcBorders>
              <w:top w:val="nil"/>
            </w:tcBorders>
            <w:shd w:val="clear"/>
            <w:vAlign w:val="center"/>
          </w:tcPr>
          <w:p>
            <w:pPr>
              <w:rPr>
                <w:rFonts w:hint="eastAsia" w:ascii="微软雅黑" w:hAnsi="微软雅黑" w:eastAsia="微软雅黑" w:cs="微软雅黑"/>
                <w:color w:val="333333"/>
                <w:sz w:val="18"/>
                <w:szCs w:val="18"/>
              </w:rPr>
            </w:pPr>
          </w:p>
        </w:tc>
        <w:tc>
          <w:tcPr>
            <w:tcW w:w="600" w:type="dxa"/>
            <w:shd w:val="clear"/>
            <w:vAlign w:val="center"/>
          </w:tcPr>
          <w:p>
            <w:pPr>
              <w:rPr>
                <w:rFonts w:hint="eastAsia" w:ascii="微软雅黑" w:hAnsi="微软雅黑" w:eastAsia="微软雅黑" w:cs="微软雅黑"/>
                <w:color w:val="333333"/>
                <w:sz w:val="18"/>
                <w:szCs w:val="18"/>
              </w:rPr>
            </w:pPr>
          </w:p>
        </w:tc>
      </w:tr>
      <w:bookmarkEnd w:id="1"/>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F77ACD"/>
    <w:rsid w:val="6D535020"/>
    <w:rsid w:val="70F77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333333"/>
      <w:u w:val="none"/>
    </w:rPr>
  </w:style>
  <w:style w:type="character" w:styleId="4">
    <w:name w:val="Hyperlink"/>
    <w:basedOn w:val="2"/>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2018-06-20T02:37:00Z</dcterms:created>
  <dc:creator>Administrator</dc:creator>
  <cp:lastModifiedBy>Administrator</cp:lastModifiedBy>
  <dcterms:modified xsi:type="dcterms:W3CDTF">2018-06-20T02:37:18Z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