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880" w:type="dxa"/>
        <w:jc w:val="center"/>
        <w:tblInd w:w="-1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1485"/>
        <w:gridCol w:w="1545"/>
        <w:gridCol w:w="58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705" w:hRule="atLeast"/>
          <w:jc w:val="center"/>
        </w:trPr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bdr w:val="none" w:color="auto" w:sz="0" w:space="0"/>
              </w:rPr>
              <w:t>招聘学科</w:t>
            </w:r>
          </w:p>
        </w:tc>
        <w:tc>
          <w:tcPr>
            <w:tcW w:w="15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bdr w:val="none" w:color="auto" w:sz="0" w:space="0"/>
              </w:rPr>
              <w:t>招聘指标</w:t>
            </w:r>
          </w:p>
        </w:tc>
        <w:tc>
          <w:tcPr>
            <w:tcW w:w="58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bdr w:val="none" w:color="auto" w:sz="0" w:space="0"/>
              </w:rPr>
              <w:t>专   业   要   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095" w:hRule="atLeast"/>
          <w:jc w:val="center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bdr w:val="none" w:color="auto" w:sz="0" w:space="0"/>
              </w:rPr>
              <w:t>中国语言文学、中国古代文学、中国现当代文学、语言学与应用语言学、汉语言文字学、中国古典文献学、课程与教学论、学科教学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1035" w:hRule="atLeast"/>
          <w:jc w:val="center"/>
        </w:trPr>
        <w:tc>
          <w:tcPr>
            <w:tcW w:w="14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8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1"/>
                <w:szCs w:val="21"/>
                <w:bdr w:val="none" w:color="auto" w:sz="0" w:space="0"/>
              </w:rPr>
              <w:t>数学、基础数学、计算数学、应用数学、概率论与数理统计、运筹学与控制论、课程与教学论、学科教学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626989"/>
    <w:rsid w:val="316269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2018-10-25T08:39:00Z</dcterms:created>
  <dc:creator>天空</dc:creator>
  <cp:lastModifiedBy>天空</cp:lastModifiedBy>
  <dcterms:modified xsi:type="dcterms:W3CDTF">2018-10-25T08:40:02Z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