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 w:firstLine="560" w:firstLineChars="200"/>
        <w:jc w:val="left"/>
      </w:pPr>
      <w:r>
        <w:rPr>
          <w:rFonts w:ascii="黑体" w:hAnsi="宋体" w:eastAsia="黑体" w:cs="黑体"/>
          <w:kern w:val="0"/>
          <w:sz w:val="28"/>
          <w:szCs w:val="28"/>
          <w:lang w:val="en-US" w:eastAsia="zh-CN" w:bidi="ar"/>
        </w:rPr>
        <w:t>招聘岗位和数量</w:t>
      </w:r>
    </w:p>
    <w:tbl>
      <w:tblPr>
        <w:tblW w:w="8818" w:type="dxa"/>
        <w:jc w:val="center"/>
        <w:tblInd w:w="-14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080"/>
        <w:gridCol w:w="719"/>
        <w:gridCol w:w="1695"/>
        <w:gridCol w:w="1185"/>
        <w:gridCol w:w="2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学历/学位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园艺技术专业教师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蔬菜学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本科为植物生产类专业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工程测量技术专业实训指导教师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测绘类或地理科学类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本科为测绘类专业。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具有副高级专业技术资格人员学历可放宽至全日制本科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建筑工程技术专业教师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本科为建筑学专业。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具有副高级专业技术资格人员学历可放宽至全日制本科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物流管理专业教师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物流管理（智能控制方向）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本科为物流管理专业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计算机类专业教师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计算机应用技术、计算机科学与技术、软件工程等计算机类专业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shd w:val="clear" w:fill="FFFF0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社会体育专业教师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体育学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本科为体育教育学专业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教辅人员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国际贸易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教辅人员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图书情报学或图书馆学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           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教辅人员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现代教育技术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教辅人员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工商管理、果树学、食品科学、公共管理</w:t>
            </w:r>
          </w:p>
        </w:tc>
        <w:tc>
          <w:tcPr>
            <w:tcW w:w="11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  <w:r>
              <w:rPr>
                <w:rFonts w:asciiTheme="minorHAnsi" w:hAnsiTheme="minorHAnsi" w:eastAsiaTheme="minorEastAsia" w:cstheme="minorBidi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要求具有三年以上与教育相关的工作经历。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F7078"/>
    <w:rsid w:val="5EEF70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666666"/>
      <w:u w:val="none"/>
    </w:rPr>
  </w:style>
  <w:style w:type="character" w:styleId="4">
    <w:name w:val="Hyperlink"/>
    <w:basedOn w:val="2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2018-11-02T02:17:00Z</dcterms:created>
  <dc:creator>ASUS</dc:creator>
  <cp:lastModifiedBy>ASUS</cp:lastModifiedBy>
  <dcterms:modified xsi:type="dcterms:W3CDTF">2018-11-02T02:17:59Z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