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9000" w:type="dxa"/>
        <w:jc w:val="center"/>
        <w:tblInd w:w="-239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1498"/>
        <w:gridCol w:w="458"/>
        <w:gridCol w:w="653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bdr w:val="none" w:color="auto" w:sz="0" w:space="0"/>
              </w:rPr>
              <w:t>序号</w:t>
            </w:r>
          </w:p>
        </w:tc>
        <w:tc>
          <w:tcPr>
            <w:tcW w:w="14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bdr w:val="none" w:color="auto" w:sz="0" w:space="0"/>
              </w:rPr>
              <w:t>岗位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bdr w:val="none" w:color="auto" w:sz="0" w:space="0"/>
              </w:rPr>
              <w:t>人数</w:t>
            </w:r>
          </w:p>
        </w:tc>
        <w:tc>
          <w:tcPr>
            <w:tcW w:w="65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bdr w:val="none" w:color="auto" w:sz="0" w:space="0"/>
              </w:rPr>
              <w:t>具体要求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计算机系教师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1.计算机网络技术、网络与信息安全、软件等相关专业；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2.硕士及以上学历，具有职业院校相关专业教学或企业工作经历者可放宽到本科学历；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3.具有企业认证证书、高校教师资格证或“双师型”证书者优先；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4.普通话标准。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机电系教师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1.机器人、自动化、机电一体化等相关专业；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2.硕士及以上学历，具有职业院校相关专业教学或企业工作经历者可放宽到本科学历；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3.具有高校教师资格证或“双师型”证书者优先；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4.普通话标准。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珠宝类教师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1.珠宝玉石加工等相关专业；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2.硕士及以上学历，具有职业院校相关专业教学或企业工作经历者可放宽到本科学历；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3.具有高校教师资格证或“双师型”证书者优先；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4.普通话标准。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4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商务系教师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1.商务、物流相关专业；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2.硕士及以上学历，具有职业院校相关专业教学或企业工作经历者可放宽到本科学历；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3.具有高校教师资格证或“双师型”证书者优先；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4.普通话标准。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5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德育教师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1.思想政治教育、法律等相关专业；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2.硕士及以上学历，中共党员；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3.有社工和法律方面工作经验或相关工作经历者优先。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6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体育教师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1.体育类专业；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3.有运动专长，有较强的交流、表达能力。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7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语文教师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1.汉语言文学及相关专业；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3.有较强的交流、表达能力。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8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数学教师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1.数学相关专业；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2.硕士及以上学历；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3.有较强的交流、表达能力。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9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校务办管理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管理、中文相关专业，大学本科及以上学历，具有较强的沟通及协调能力。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10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教师发展管理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数学、财会类类专业，大学本科及以上学历。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11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学生发展管理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大学本科及以上学历，具有职业教育管理经验优先。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12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基建管理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土木工程相关专业，大学本科及以上学历。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  <w:jc w:val="center"/>
        </w:trPr>
        <w:tc>
          <w:tcPr>
            <w:tcW w:w="5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13</w:t>
            </w:r>
          </w:p>
        </w:tc>
        <w:tc>
          <w:tcPr>
            <w:tcW w:w="14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IT网络管理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1</w:t>
            </w:r>
          </w:p>
        </w:tc>
        <w:tc>
          <w:tcPr>
            <w:tcW w:w="6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计算机相关专业，大学本科及以上学历。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F6EC6"/>
    <w:rsid w:val="08F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2018-11-03T08:39:00Z</dcterms:created>
  <dc:creator>Administrator</dc:creator>
  <cp:lastModifiedBy>Administrator</cp:lastModifiedBy>
  <dcterms:modified xsi:type="dcterms:W3CDTF">2018-11-03T09:20:15Z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