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87A" w:rsidRDefault="00DF687A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DF687A" w:rsidRDefault="00C600AE">
      <w:pPr>
        <w:spacing w:line="580" w:lineRule="exact"/>
        <w:jc w:val="left"/>
        <w:rPr>
          <w:rFonts w:ascii="黑体" w:eastAsia="黑体" w:hAnsi="黑体"/>
          <w:snapToGrid w:val="0"/>
          <w:kern w:val="0"/>
          <w:sz w:val="32"/>
          <w:szCs w:val="32"/>
        </w:rPr>
      </w:pP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>附件</w:t>
      </w:r>
      <w:r>
        <w:rPr>
          <w:rFonts w:ascii="黑体" w:eastAsia="黑体" w:hAnsi="黑体"/>
          <w:snapToGrid w:val="0"/>
          <w:kern w:val="0"/>
          <w:sz w:val="32"/>
          <w:szCs w:val="32"/>
        </w:rPr>
        <w:t>5</w:t>
      </w:r>
      <w:bookmarkStart w:id="0" w:name="_GoBack"/>
      <w:bookmarkEnd w:id="0"/>
    </w:p>
    <w:p w:rsidR="00DF687A" w:rsidRDefault="00C600AE">
      <w:pPr>
        <w:spacing w:line="580" w:lineRule="exact"/>
        <w:jc w:val="center"/>
        <w:rPr>
          <w:rFonts w:ascii="方正小标宋_GBK" w:eastAsia="方正小标宋_GBK" w:hAnsi="宋体"/>
          <w:snapToGrid w:val="0"/>
          <w:kern w:val="0"/>
          <w:sz w:val="44"/>
          <w:szCs w:val="44"/>
        </w:rPr>
      </w:pPr>
      <w:r>
        <w:rPr>
          <w:rFonts w:ascii="方正小标宋_GBK" w:eastAsia="方正小标宋_GBK" w:hAnsi="宋体" w:hint="eastAsia"/>
          <w:snapToGrid w:val="0"/>
          <w:kern w:val="0"/>
          <w:sz w:val="44"/>
          <w:szCs w:val="44"/>
        </w:rPr>
        <w:t>吴江区基本情况介绍</w:t>
      </w:r>
    </w:p>
    <w:p w:rsidR="00DF687A" w:rsidRDefault="00DF687A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F687A" w:rsidRDefault="00C600AE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吴江是江苏省的“南大门”，东邻上海，西濒太湖，南连浙江，北依苏州，地处江浙沪两省一市交汇的长江三角洲中心腹地。全区总面积</w:t>
      </w:r>
      <w:r>
        <w:rPr>
          <w:rFonts w:ascii="仿宋_GB2312" w:eastAsia="仿宋_GB2312" w:hint="eastAsia"/>
          <w:sz w:val="32"/>
          <w:szCs w:val="32"/>
        </w:rPr>
        <w:t>1176</w:t>
      </w:r>
      <w:r>
        <w:rPr>
          <w:rFonts w:ascii="仿宋_GB2312" w:eastAsia="仿宋_GB2312" w:hint="eastAsia"/>
          <w:sz w:val="32"/>
          <w:szCs w:val="32"/>
        </w:rPr>
        <w:t>平方公里，全区总人口超</w:t>
      </w:r>
      <w:r>
        <w:rPr>
          <w:rFonts w:ascii="仿宋_GB2312" w:eastAsia="仿宋_GB2312" w:hint="eastAsia"/>
          <w:sz w:val="32"/>
          <w:szCs w:val="32"/>
        </w:rPr>
        <w:t>170</w:t>
      </w:r>
      <w:r>
        <w:rPr>
          <w:rFonts w:ascii="仿宋_GB2312" w:eastAsia="仿宋_GB2312" w:hint="eastAsia"/>
          <w:sz w:val="32"/>
          <w:szCs w:val="32"/>
        </w:rPr>
        <w:t>万，其中户籍人口</w:t>
      </w:r>
      <w:r>
        <w:rPr>
          <w:rFonts w:ascii="仿宋_GB2312" w:eastAsia="仿宋_GB2312" w:hint="eastAsia"/>
          <w:sz w:val="32"/>
          <w:szCs w:val="32"/>
        </w:rPr>
        <w:t>83</w:t>
      </w:r>
      <w:r>
        <w:rPr>
          <w:rFonts w:ascii="仿宋_GB2312" w:eastAsia="仿宋_GB2312" w:hint="eastAsia"/>
          <w:sz w:val="32"/>
          <w:szCs w:val="32"/>
        </w:rPr>
        <w:t>万。下辖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个镇，其中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个镇分别和国家级吴江经济技术开发区、省级</w:t>
      </w:r>
      <w:proofErr w:type="gramStart"/>
      <w:r>
        <w:rPr>
          <w:rFonts w:ascii="仿宋_GB2312" w:eastAsia="仿宋_GB2312" w:hint="eastAsia"/>
          <w:sz w:val="32"/>
          <w:szCs w:val="32"/>
        </w:rPr>
        <w:t>汾</w:t>
      </w:r>
      <w:proofErr w:type="gramEnd"/>
      <w:r>
        <w:rPr>
          <w:rFonts w:ascii="仿宋_GB2312" w:eastAsia="仿宋_GB2312" w:hint="eastAsia"/>
          <w:sz w:val="32"/>
          <w:szCs w:val="32"/>
        </w:rPr>
        <w:t>湖高新区、省级吴江高新技术产业园区（筹）、太湖新城（省级东太湖生态旅游度假区）实行“区镇合一”发展。</w:t>
      </w:r>
      <w:proofErr w:type="gramStart"/>
      <w:r>
        <w:rPr>
          <w:rFonts w:ascii="仿宋_GB2312" w:eastAsia="仿宋_GB2312" w:hint="eastAsia"/>
          <w:sz w:val="32"/>
          <w:szCs w:val="32"/>
        </w:rPr>
        <w:t>境内苏</w:t>
      </w:r>
      <w:proofErr w:type="gramEnd"/>
      <w:r>
        <w:rPr>
          <w:rFonts w:ascii="仿宋_GB2312" w:eastAsia="仿宋_GB2312" w:hint="eastAsia"/>
          <w:sz w:val="32"/>
          <w:szCs w:val="32"/>
        </w:rPr>
        <w:t>嘉杭高速、常嘉高速、</w:t>
      </w:r>
      <w:r>
        <w:rPr>
          <w:rFonts w:ascii="仿宋_GB2312" w:eastAsia="仿宋_GB2312" w:hint="eastAsia"/>
          <w:sz w:val="32"/>
          <w:szCs w:val="32"/>
        </w:rPr>
        <w:t>227</w:t>
      </w:r>
      <w:r>
        <w:rPr>
          <w:rFonts w:ascii="仿宋_GB2312" w:eastAsia="仿宋_GB2312" w:hint="eastAsia"/>
          <w:sz w:val="32"/>
          <w:szCs w:val="32"/>
        </w:rPr>
        <w:t>省道、京杭大运河纵贯南北，沪苏浙高速、</w:t>
      </w:r>
      <w:r>
        <w:rPr>
          <w:rFonts w:ascii="仿宋_GB2312" w:eastAsia="仿宋_GB2312" w:hint="eastAsia"/>
          <w:sz w:val="32"/>
          <w:szCs w:val="32"/>
        </w:rPr>
        <w:t>318</w:t>
      </w:r>
      <w:r>
        <w:rPr>
          <w:rFonts w:ascii="仿宋_GB2312" w:eastAsia="仿宋_GB2312" w:hint="eastAsia"/>
          <w:sz w:val="32"/>
          <w:szCs w:val="32"/>
        </w:rPr>
        <w:t>国道、太浦河横穿东西，轨道交通四号线连接苏州，未来还将有两条城际铁路贯穿交汇，交通快捷便利。</w:t>
      </w:r>
    </w:p>
    <w:p w:rsidR="00DF687A" w:rsidRDefault="00C600AE">
      <w:pPr>
        <w:spacing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人</w:t>
      </w:r>
      <w:r>
        <w:rPr>
          <w:rFonts w:ascii="楷体_GB2312" w:eastAsia="楷体_GB2312" w:hint="eastAsia"/>
          <w:b/>
          <w:sz w:val="32"/>
          <w:szCs w:val="32"/>
        </w:rPr>
        <w:t>文吴江。</w:t>
      </w:r>
      <w:r>
        <w:rPr>
          <w:rFonts w:ascii="仿宋_GB2312" w:eastAsia="仿宋_GB2312" w:hint="eastAsia"/>
          <w:sz w:val="32"/>
          <w:szCs w:val="32"/>
        </w:rPr>
        <w:t>吴江于公元</w:t>
      </w:r>
      <w:r>
        <w:rPr>
          <w:rFonts w:ascii="仿宋_GB2312" w:eastAsia="仿宋_GB2312" w:hint="eastAsia"/>
          <w:sz w:val="32"/>
          <w:szCs w:val="32"/>
        </w:rPr>
        <w:t>909</w:t>
      </w:r>
      <w:r>
        <w:rPr>
          <w:rFonts w:ascii="仿宋_GB2312" w:eastAsia="仿宋_GB2312" w:hint="eastAsia"/>
          <w:sz w:val="32"/>
          <w:szCs w:val="32"/>
        </w:rPr>
        <w:t>年建县，</w:t>
      </w:r>
      <w:r>
        <w:rPr>
          <w:rFonts w:ascii="仿宋_GB2312" w:eastAsia="仿宋_GB2312" w:hint="eastAsia"/>
          <w:sz w:val="32"/>
          <w:szCs w:val="32"/>
        </w:rPr>
        <w:t>1992</w:t>
      </w:r>
      <w:r>
        <w:rPr>
          <w:rFonts w:ascii="仿宋_GB2312" w:eastAsia="仿宋_GB2312" w:hint="eastAsia"/>
          <w:sz w:val="32"/>
          <w:szCs w:val="32"/>
        </w:rPr>
        <w:t>年撤县设市，</w:t>
      </w:r>
      <w:r>
        <w:rPr>
          <w:rFonts w:ascii="仿宋_GB2312" w:eastAsia="仿宋_GB2312" w:hint="eastAsia"/>
          <w:sz w:val="32"/>
          <w:szCs w:val="32"/>
        </w:rPr>
        <w:t>2012</w:t>
      </w:r>
      <w:r>
        <w:rPr>
          <w:rFonts w:ascii="仿宋_GB2312" w:eastAsia="仿宋_GB2312" w:hint="eastAsia"/>
          <w:sz w:val="32"/>
          <w:szCs w:val="32"/>
        </w:rPr>
        <w:t>年撤市设区，是享誉全国的“鱼米之乡”、“丝绸之府”。悠长久远的历史和勤勉诚信的民风，孕育了包括爱国诗人柳亚子、社会学家费孝通等一大批社会英才，现有吴江籍两</w:t>
      </w:r>
      <w:proofErr w:type="gramStart"/>
      <w:r>
        <w:rPr>
          <w:rFonts w:ascii="仿宋_GB2312" w:eastAsia="仿宋_GB2312" w:hint="eastAsia"/>
          <w:sz w:val="32"/>
          <w:szCs w:val="32"/>
        </w:rPr>
        <w:t>院</w:t>
      </w:r>
      <w:proofErr w:type="gramEnd"/>
      <w:r>
        <w:rPr>
          <w:rFonts w:ascii="仿宋_GB2312" w:eastAsia="仿宋_GB2312" w:hint="eastAsia"/>
          <w:sz w:val="32"/>
          <w:szCs w:val="32"/>
        </w:rPr>
        <w:t>院士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位。吴江籍著名物理学家、中国核试验科学技术的创建者和领路人、“两弹一星”功勋科学家程开甲院士，荣获</w:t>
      </w:r>
      <w:r>
        <w:rPr>
          <w:rFonts w:ascii="仿宋_GB2312" w:eastAsia="仿宋_GB2312" w:hint="eastAsia"/>
          <w:sz w:val="32"/>
          <w:szCs w:val="32"/>
        </w:rPr>
        <w:t>2013</w:t>
      </w:r>
      <w:r>
        <w:rPr>
          <w:rFonts w:ascii="仿宋_GB2312" w:eastAsia="仿宋_GB2312" w:hint="eastAsia"/>
          <w:sz w:val="32"/>
          <w:szCs w:val="32"/>
        </w:rPr>
        <w:t>年度国家最高科学技术奖。“小桥流水、临街枕河、粉墙黛瓦”的江南民居风貌独特，造就了同里、黎里、震泽三个中国历史文化名镇。继</w:t>
      </w:r>
      <w:proofErr w:type="gramStart"/>
      <w:r>
        <w:rPr>
          <w:rFonts w:ascii="仿宋_GB2312" w:eastAsia="仿宋_GB2312" w:hint="eastAsia"/>
          <w:sz w:val="32"/>
          <w:szCs w:val="32"/>
        </w:rPr>
        <w:t>同里退思</w:t>
      </w:r>
      <w:proofErr w:type="gramEnd"/>
      <w:r>
        <w:rPr>
          <w:rFonts w:ascii="仿宋_GB2312" w:eastAsia="仿宋_GB2312" w:hint="eastAsia"/>
          <w:sz w:val="32"/>
          <w:szCs w:val="32"/>
        </w:rPr>
        <w:t>园之后，大运河吴江段和吴江运河古</w:t>
      </w:r>
      <w:proofErr w:type="gramStart"/>
      <w:r>
        <w:rPr>
          <w:rFonts w:ascii="仿宋_GB2312" w:eastAsia="仿宋_GB2312" w:hint="eastAsia"/>
          <w:sz w:val="32"/>
          <w:szCs w:val="32"/>
        </w:rPr>
        <w:t>纤</w:t>
      </w:r>
      <w:proofErr w:type="gramEnd"/>
      <w:r>
        <w:rPr>
          <w:rFonts w:ascii="仿宋_GB2312" w:eastAsia="仿宋_GB2312" w:hint="eastAsia"/>
          <w:sz w:val="32"/>
          <w:szCs w:val="32"/>
        </w:rPr>
        <w:t>道分别作为河道遗产和</w:t>
      </w:r>
      <w:r>
        <w:rPr>
          <w:rFonts w:ascii="仿宋_GB2312" w:eastAsia="仿宋_GB2312" w:hint="eastAsia"/>
          <w:sz w:val="32"/>
          <w:szCs w:val="32"/>
        </w:rPr>
        <w:t>重要遗产点也列入《世</w:t>
      </w:r>
      <w:r>
        <w:rPr>
          <w:rFonts w:ascii="仿宋_GB2312" w:eastAsia="仿宋_GB2312" w:hint="eastAsia"/>
          <w:sz w:val="32"/>
          <w:szCs w:val="32"/>
        </w:rPr>
        <w:lastRenderedPageBreak/>
        <w:t>界文化遗产名录》。</w:t>
      </w:r>
    </w:p>
    <w:p w:rsidR="00DF687A" w:rsidRDefault="00C600AE">
      <w:pPr>
        <w:spacing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实力吴江。</w:t>
      </w:r>
      <w:r>
        <w:rPr>
          <w:rFonts w:ascii="仿宋_GB2312" w:eastAsia="仿宋_GB2312" w:hint="eastAsia"/>
          <w:sz w:val="32"/>
          <w:szCs w:val="32"/>
        </w:rPr>
        <w:t>2017</w:t>
      </w:r>
      <w:r>
        <w:rPr>
          <w:rFonts w:ascii="仿宋_GB2312" w:eastAsia="仿宋_GB2312" w:hint="eastAsia"/>
          <w:sz w:val="32"/>
          <w:szCs w:val="32"/>
        </w:rPr>
        <w:t>年，实现地区生产总值</w:t>
      </w:r>
      <w:r>
        <w:rPr>
          <w:rFonts w:ascii="仿宋_GB2312" w:eastAsia="仿宋_GB2312" w:hint="eastAsia"/>
          <w:sz w:val="32"/>
          <w:szCs w:val="32"/>
        </w:rPr>
        <w:t>1789</w:t>
      </w:r>
      <w:r>
        <w:rPr>
          <w:rFonts w:ascii="仿宋_GB2312" w:eastAsia="仿宋_GB2312" w:hint="eastAsia"/>
          <w:sz w:val="32"/>
          <w:szCs w:val="32"/>
        </w:rPr>
        <w:t>亿元，同比增长</w:t>
      </w:r>
      <w:r>
        <w:rPr>
          <w:rFonts w:ascii="仿宋_GB2312" w:eastAsia="仿宋_GB2312" w:hint="eastAsia"/>
          <w:sz w:val="32"/>
          <w:szCs w:val="32"/>
        </w:rPr>
        <w:t>7.1%</w:t>
      </w:r>
      <w:r>
        <w:rPr>
          <w:rFonts w:ascii="仿宋_GB2312" w:eastAsia="仿宋_GB2312" w:hint="eastAsia"/>
          <w:sz w:val="32"/>
          <w:szCs w:val="32"/>
        </w:rPr>
        <w:t>；一般公共预算收入</w:t>
      </w:r>
      <w:r>
        <w:rPr>
          <w:rFonts w:ascii="仿宋_GB2312" w:eastAsia="仿宋_GB2312" w:hint="eastAsia"/>
          <w:sz w:val="32"/>
          <w:szCs w:val="32"/>
        </w:rPr>
        <w:t>183.5</w:t>
      </w:r>
      <w:r>
        <w:rPr>
          <w:rFonts w:ascii="仿宋_GB2312" w:eastAsia="仿宋_GB2312" w:hint="eastAsia"/>
          <w:sz w:val="32"/>
          <w:szCs w:val="32"/>
        </w:rPr>
        <w:t>亿元，增长</w:t>
      </w:r>
      <w:r>
        <w:rPr>
          <w:rFonts w:ascii="仿宋_GB2312" w:eastAsia="仿宋_GB2312" w:hint="eastAsia"/>
          <w:sz w:val="32"/>
          <w:szCs w:val="32"/>
        </w:rPr>
        <w:t>11.1%</w:t>
      </w:r>
      <w:r>
        <w:rPr>
          <w:rFonts w:ascii="仿宋_GB2312" w:eastAsia="仿宋_GB2312" w:hint="eastAsia"/>
          <w:sz w:val="32"/>
          <w:szCs w:val="32"/>
        </w:rPr>
        <w:t>；工业总产值</w:t>
      </w:r>
      <w:r>
        <w:rPr>
          <w:rFonts w:ascii="仿宋_GB2312" w:eastAsia="仿宋_GB2312" w:hint="eastAsia"/>
          <w:sz w:val="32"/>
          <w:szCs w:val="32"/>
        </w:rPr>
        <w:t>4270</w:t>
      </w:r>
      <w:r>
        <w:rPr>
          <w:rFonts w:ascii="仿宋_GB2312" w:eastAsia="仿宋_GB2312" w:hint="eastAsia"/>
          <w:sz w:val="32"/>
          <w:szCs w:val="32"/>
        </w:rPr>
        <w:t>亿元，其中规模以上工业总产值</w:t>
      </w:r>
      <w:r>
        <w:rPr>
          <w:rFonts w:ascii="仿宋_GB2312" w:eastAsia="仿宋_GB2312" w:hint="eastAsia"/>
          <w:sz w:val="32"/>
          <w:szCs w:val="32"/>
        </w:rPr>
        <w:t>3358</w:t>
      </w:r>
      <w:r>
        <w:rPr>
          <w:rFonts w:ascii="仿宋_GB2312" w:eastAsia="仿宋_GB2312" w:hint="eastAsia"/>
          <w:sz w:val="32"/>
          <w:szCs w:val="32"/>
        </w:rPr>
        <w:t>亿元；完成全社会固定资产投资</w:t>
      </w:r>
      <w:r>
        <w:rPr>
          <w:rFonts w:ascii="仿宋_GB2312" w:eastAsia="仿宋_GB2312" w:hint="eastAsia"/>
          <w:sz w:val="32"/>
          <w:szCs w:val="32"/>
        </w:rPr>
        <w:t>681.5</w:t>
      </w:r>
      <w:r>
        <w:rPr>
          <w:rFonts w:ascii="仿宋_GB2312" w:eastAsia="仿宋_GB2312" w:hint="eastAsia"/>
          <w:sz w:val="32"/>
          <w:szCs w:val="32"/>
        </w:rPr>
        <w:t>亿元；社会消费品零售总额</w:t>
      </w:r>
      <w:r>
        <w:rPr>
          <w:rFonts w:ascii="仿宋_GB2312" w:eastAsia="仿宋_GB2312" w:hint="eastAsia"/>
          <w:sz w:val="32"/>
          <w:szCs w:val="32"/>
        </w:rPr>
        <w:t>507.2</w:t>
      </w:r>
      <w:r>
        <w:rPr>
          <w:rFonts w:ascii="仿宋_GB2312" w:eastAsia="仿宋_GB2312" w:hint="eastAsia"/>
          <w:sz w:val="32"/>
          <w:szCs w:val="32"/>
        </w:rPr>
        <w:t>亿元，增长</w:t>
      </w:r>
      <w:r>
        <w:rPr>
          <w:rFonts w:ascii="仿宋_GB2312" w:eastAsia="仿宋_GB2312" w:hint="eastAsia"/>
          <w:sz w:val="32"/>
          <w:szCs w:val="32"/>
        </w:rPr>
        <w:t>8.5%</w:t>
      </w:r>
      <w:r>
        <w:rPr>
          <w:rFonts w:ascii="仿宋_GB2312" w:eastAsia="仿宋_GB2312" w:hint="eastAsia"/>
          <w:sz w:val="32"/>
          <w:szCs w:val="32"/>
        </w:rPr>
        <w:t>；城乡居民人均可支配收入增长</w:t>
      </w:r>
      <w:r>
        <w:rPr>
          <w:rFonts w:ascii="仿宋_GB2312" w:eastAsia="仿宋_GB2312" w:hint="eastAsia"/>
          <w:sz w:val="32"/>
          <w:szCs w:val="32"/>
        </w:rPr>
        <w:t>8.6%</w:t>
      </w:r>
      <w:r>
        <w:rPr>
          <w:rFonts w:ascii="仿宋_GB2312" w:eastAsia="仿宋_GB2312" w:hint="eastAsia"/>
          <w:sz w:val="32"/>
          <w:szCs w:val="32"/>
        </w:rPr>
        <w:t>；外贸进出口总额</w:t>
      </w:r>
      <w:r>
        <w:rPr>
          <w:rFonts w:ascii="仿宋_GB2312" w:eastAsia="仿宋_GB2312" w:hint="eastAsia"/>
          <w:sz w:val="32"/>
          <w:szCs w:val="32"/>
        </w:rPr>
        <w:t>214.61</w:t>
      </w:r>
      <w:r>
        <w:rPr>
          <w:rFonts w:ascii="仿宋_GB2312" w:eastAsia="仿宋_GB2312" w:hint="eastAsia"/>
          <w:sz w:val="32"/>
          <w:szCs w:val="32"/>
        </w:rPr>
        <w:t>亿美元。</w:t>
      </w:r>
      <w:r>
        <w:rPr>
          <w:rFonts w:ascii="仿宋_GB2312" w:eastAsia="仿宋_GB2312" w:hint="eastAsia"/>
          <w:sz w:val="32"/>
          <w:szCs w:val="32"/>
        </w:rPr>
        <w:t>2018</w:t>
      </w:r>
      <w:r>
        <w:rPr>
          <w:rFonts w:ascii="仿宋_GB2312" w:eastAsia="仿宋_GB2312" w:hint="eastAsia"/>
          <w:sz w:val="32"/>
          <w:szCs w:val="32"/>
        </w:rPr>
        <w:t>年上半年，完成地区生产总值</w:t>
      </w:r>
      <w:r>
        <w:rPr>
          <w:rFonts w:ascii="仿宋_GB2312" w:eastAsia="仿宋_GB2312" w:hint="eastAsia"/>
          <w:sz w:val="32"/>
          <w:szCs w:val="32"/>
        </w:rPr>
        <w:t>937.8</w:t>
      </w:r>
      <w:r>
        <w:rPr>
          <w:rFonts w:ascii="仿宋_GB2312" w:eastAsia="仿宋_GB2312" w:hint="eastAsia"/>
          <w:sz w:val="32"/>
          <w:szCs w:val="32"/>
        </w:rPr>
        <w:t>亿元；完成一般公共预算收入</w:t>
      </w:r>
      <w:r>
        <w:rPr>
          <w:rFonts w:ascii="仿宋_GB2312" w:eastAsia="仿宋_GB2312" w:hint="eastAsia"/>
          <w:sz w:val="32"/>
          <w:szCs w:val="32"/>
        </w:rPr>
        <w:t>108.1</w:t>
      </w:r>
      <w:r>
        <w:rPr>
          <w:rFonts w:ascii="仿宋_GB2312" w:eastAsia="仿宋_GB2312" w:hint="eastAsia"/>
          <w:sz w:val="32"/>
          <w:szCs w:val="32"/>
        </w:rPr>
        <w:t>亿元，税收</w:t>
      </w:r>
      <w:r>
        <w:rPr>
          <w:rFonts w:ascii="仿宋_GB2312" w:eastAsia="仿宋_GB2312" w:hint="eastAsia"/>
          <w:sz w:val="32"/>
          <w:szCs w:val="32"/>
        </w:rPr>
        <w:t>100.2</w:t>
      </w:r>
      <w:r>
        <w:rPr>
          <w:rFonts w:ascii="仿宋_GB2312" w:eastAsia="仿宋_GB2312" w:hint="eastAsia"/>
          <w:sz w:val="32"/>
          <w:szCs w:val="32"/>
        </w:rPr>
        <w:t>亿元，历史性地实现半年度突破“双百”，</w:t>
      </w:r>
      <w:r>
        <w:rPr>
          <w:rFonts w:ascii="仿宋_GB2312" w:eastAsia="仿宋_GB2312" w:hint="eastAsia"/>
          <w:sz w:val="32"/>
          <w:szCs w:val="32"/>
        </w:rPr>
        <w:t>同比分别增长</w:t>
      </w:r>
      <w:r>
        <w:rPr>
          <w:rFonts w:ascii="仿宋_GB2312" w:eastAsia="仿宋_GB2312" w:hint="eastAsia"/>
          <w:sz w:val="32"/>
          <w:szCs w:val="32"/>
        </w:rPr>
        <w:t>15.4%</w:t>
      </w:r>
      <w:r>
        <w:rPr>
          <w:rFonts w:ascii="仿宋_GB2312" w:eastAsia="仿宋_GB2312" w:hint="eastAsia"/>
          <w:sz w:val="32"/>
          <w:szCs w:val="32"/>
        </w:rPr>
        <w:t>和</w:t>
      </w:r>
      <w:r>
        <w:rPr>
          <w:rFonts w:ascii="仿宋_GB2312" w:eastAsia="仿宋_GB2312" w:hint="eastAsia"/>
          <w:sz w:val="32"/>
          <w:szCs w:val="32"/>
        </w:rPr>
        <w:t>19.6%</w:t>
      </w:r>
      <w:r>
        <w:rPr>
          <w:rFonts w:ascii="仿宋_GB2312" w:eastAsia="仿宋_GB2312" w:hint="eastAsia"/>
          <w:sz w:val="32"/>
          <w:szCs w:val="32"/>
        </w:rPr>
        <w:t>，税比</w:t>
      </w:r>
      <w:r>
        <w:rPr>
          <w:rFonts w:ascii="仿宋_GB2312" w:eastAsia="仿宋_GB2312" w:hint="eastAsia"/>
          <w:sz w:val="32"/>
          <w:szCs w:val="32"/>
        </w:rPr>
        <w:t>92.7%</w:t>
      </w:r>
      <w:r>
        <w:rPr>
          <w:rFonts w:ascii="仿宋_GB2312" w:eastAsia="仿宋_GB2312" w:hint="eastAsia"/>
          <w:sz w:val="32"/>
          <w:szCs w:val="32"/>
        </w:rPr>
        <w:t>；完成工业总产值</w:t>
      </w:r>
      <w:r>
        <w:rPr>
          <w:rFonts w:ascii="仿宋_GB2312" w:eastAsia="仿宋_GB2312" w:hint="eastAsia"/>
          <w:sz w:val="32"/>
          <w:szCs w:val="32"/>
        </w:rPr>
        <w:t>2248</w:t>
      </w:r>
      <w:r>
        <w:rPr>
          <w:rFonts w:ascii="仿宋_GB2312" w:eastAsia="仿宋_GB2312" w:hint="eastAsia"/>
          <w:sz w:val="32"/>
          <w:szCs w:val="32"/>
        </w:rPr>
        <w:t>亿元，其中规模以上工业总产值</w:t>
      </w:r>
      <w:r>
        <w:rPr>
          <w:rFonts w:ascii="仿宋_GB2312" w:eastAsia="仿宋_GB2312" w:hint="eastAsia"/>
          <w:sz w:val="32"/>
          <w:szCs w:val="32"/>
        </w:rPr>
        <w:t>1663.2</w:t>
      </w:r>
      <w:r>
        <w:rPr>
          <w:rFonts w:ascii="仿宋_GB2312" w:eastAsia="仿宋_GB2312" w:hint="eastAsia"/>
          <w:sz w:val="32"/>
          <w:szCs w:val="32"/>
        </w:rPr>
        <w:t>亿元，同比分别增长</w:t>
      </w:r>
      <w:r>
        <w:rPr>
          <w:rFonts w:ascii="仿宋_GB2312" w:eastAsia="仿宋_GB2312" w:hint="eastAsia"/>
          <w:sz w:val="32"/>
          <w:szCs w:val="32"/>
        </w:rPr>
        <w:t>6.8%</w:t>
      </w:r>
      <w:r>
        <w:rPr>
          <w:rFonts w:ascii="仿宋_GB2312" w:eastAsia="仿宋_GB2312" w:hint="eastAsia"/>
          <w:sz w:val="32"/>
          <w:szCs w:val="32"/>
        </w:rPr>
        <w:t>和</w:t>
      </w:r>
      <w:r>
        <w:rPr>
          <w:rFonts w:ascii="仿宋_GB2312" w:eastAsia="仿宋_GB2312" w:hint="eastAsia"/>
          <w:sz w:val="32"/>
          <w:szCs w:val="32"/>
        </w:rPr>
        <w:t>7.5%</w:t>
      </w:r>
      <w:r>
        <w:rPr>
          <w:rFonts w:ascii="仿宋_GB2312" w:eastAsia="仿宋_GB2312" w:hint="eastAsia"/>
          <w:sz w:val="32"/>
          <w:szCs w:val="32"/>
        </w:rPr>
        <w:t>；工业开票销售同比增长</w:t>
      </w:r>
      <w:r>
        <w:rPr>
          <w:rFonts w:ascii="仿宋_GB2312" w:eastAsia="仿宋_GB2312" w:hint="eastAsia"/>
          <w:sz w:val="32"/>
          <w:szCs w:val="32"/>
        </w:rPr>
        <w:t>14.2%</w:t>
      </w:r>
      <w:r>
        <w:rPr>
          <w:rFonts w:ascii="仿宋_GB2312" w:eastAsia="仿宋_GB2312" w:hint="eastAsia"/>
          <w:sz w:val="32"/>
          <w:szCs w:val="32"/>
        </w:rPr>
        <w:t>；完成全社会固定资产投资</w:t>
      </w:r>
      <w:r>
        <w:rPr>
          <w:rFonts w:ascii="仿宋_GB2312" w:eastAsia="仿宋_GB2312" w:hint="eastAsia"/>
          <w:sz w:val="32"/>
          <w:szCs w:val="32"/>
        </w:rPr>
        <w:t>290.1</w:t>
      </w:r>
      <w:r>
        <w:rPr>
          <w:rFonts w:ascii="仿宋_GB2312" w:eastAsia="仿宋_GB2312" w:hint="eastAsia"/>
          <w:sz w:val="32"/>
          <w:szCs w:val="32"/>
        </w:rPr>
        <w:t>亿元，同比增长</w:t>
      </w:r>
      <w:r>
        <w:rPr>
          <w:rFonts w:ascii="仿宋_GB2312" w:eastAsia="仿宋_GB2312" w:hint="eastAsia"/>
          <w:sz w:val="32"/>
          <w:szCs w:val="32"/>
        </w:rPr>
        <w:t>6.7%</w:t>
      </w:r>
      <w:r>
        <w:rPr>
          <w:rFonts w:ascii="仿宋_GB2312" w:eastAsia="仿宋_GB2312" w:hint="eastAsia"/>
          <w:sz w:val="32"/>
          <w:szCs w:val="32"/>
        </w:rPr>
        <w:t>，经济社会保持了良好发展态势。丝绸纺织、电子信息、光电缆、装备</w:t>
      </w:r>
      <w:proofErr w:type="gramStart"/>
      <w:r>
        <w:rPr>
          <w:rFonts w:ascii="仿宋_GB2312" w:eastAsia="仿宋_GB2312" w:hint="eastAsia"/>
          <w:sz w:val="32"/>
          <w:szCs w:val="32"/>
        </w:rPr>
        <w:t>制造四</w:t>
      </w:r>
      <w:proofErr w:type="gramEnd"/>
      <w:r>
        <w:rPr>
          <w:rFonts w:ascii="仿宋_GB2312" w:eastAsia="仿宋_GB2312" w:hint="eastAsia"/>
          <w:sz w:val="32"/>
          <w:szCs w:val="32"/>
        </w:rPr>
        <w:t>大主导产业稳定发展，其中，丝绸纺织和电子信息为千亿级，电梯为主的装备制造、光电缆均为</w:t>
      </w:r>
      <w:r>
        <w:rPr>
          <w:rFonts w:ascii="仿宋_GB2312" w:eastAsia="仿宋_GB2312" w:hint="eastAsia"/>
          <w:sz w:val="32"/>
          <w:szCs w:val="32"/>
        </w:rPr>
        <w:t>500</w:t>
      </w:r>
      <w:r>
        <w:rPr>
          <w:rFonts w:ascii="仿宋_GB2312" w:eastAsia="仿宋_GB2312" w:hint="eastAsia"/>
          <w:sz w:val="32"/>
          <w:szCs w:val="32"/>
        </w:rPr>
        <w:t>亿级。新一代信息技术、新型半导体、大数据等新兴产业和现代服务业发展迅速。民营经济发达，有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家企业入围中国企业</w:t>
      </w:r>
      <w:r>
        <w:rPr>
          <w:rFonts w:ascii="仿宋_GB2312" w:eastAsia="仿宋_GB2312" w:hint="eastAsia"/>
          <w:sz w:val="32"/>
          <w:szCs w:val="32"/>
        </w:rPr>
        <w:t>500</w:t>
      </w:r>
      <w:r>
        <w:rPr>
          <w:rFonts w:ascii="仿宋_GB2312" w:eastAsia="仿宋_GB2312" w:hint="eastAsia"/>
          <w:sz w:val="32"/>
          <w:szCs w:val="32"/>
        </w:rPr>
        <w:t>强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家企业上榜中国民企</w:t>
      </w:r>
      <w:r>
        <w:rPr>
          <w:rFonts w:ascii="仿宋_GB2312" w:eastAsia="仿宋_GB2312" w:hint="eastAsia"/>
          <w:sz w:val="32"/>
          <w:szCs w:val="32"/>
        </w:rPr>
        <w:t>500</w:t>
      </w:r>
      <w:r>
        <w:rPr>
          <w:rFonts w:ascii="仿宋_GB2312" w:eastAsia="仿宋_GB2312" w:hint="eastAsia"/>
          <w:sz w:val="32"/>
          <w:szCs w:val="32"/>
        </w:rPr>
        <w:t>强，恒力跻身世界</w:t>
      </w:r>
      <w:r>
        <w:rPr>
          <w:rFonts w:ascii="仿宋_GB2312" w:eastAsia="仿宋_GB2312" w:hint="eastAsia"/>
          <w:sz w:val="32"/>
          <w:szCs w:val="32"/>
        </w:rPr>
        <w:t>500</w:t>
      </w:r>
      <w:r>
        <w:rPr>
          <w:rFonts w:ascii="仿宋_GB2312" w:eastAsia="仿宋_GB2312" w:hint="eastAsia"/>
          <w:sz w:val="32"/>
          <w:szCs w:val="32"/>
        </w:rPr>
        <w:t>强企业，位列</w:t>
      </w:r>
      <w:r>
        <w:rPr>
          <w:rFonts w:ascii="仿宋_GB2312" w:eastAsia="仿宋_GB2312" w:hint="eastAsia"/>
          <w:sz w:val="32"/>
          <w:szCs w:val="32"/>
        </w:rPr>
        <w:t>235</w:t>
      </w:r>
      <w:r>
        <w:rPr>
          <w:rFonts w:ascii="仿宋_GB2312" w:eastAsia="仿宋_GB2312" w:hint="eastAsia"/>
          <w:sz w:val="32"/>
          <w:szCs w:val="32"/>
        </w:rPr>
        <w:t>位。工业企业资源集约利用信息系统全省首创；智能工业加速发展，</w:t>
      </w:r>
      <w:r>
        <w:rPr>
          <w:rFonts w:ascii="仿宋_GB2312" w:eastAsia="仿宋_GB2312" w:hint="eastAsia"/>
          <w:sz w:val="32"/>
          <w:szCs w:val="32"/>
        </w:rPr>
        <w:t>40</w:t>
      </w:r>
      <w:r>
        <w:rPr>
          <w:rFonts w:ascii="仿宋_GB2312" w:eastAsia="仿宋_GB2312" w:hint="eastAsia"/>
          <w:sz w:val="32"/>
          <w:szCs w:val="32"/>
        </w:rPr>
        <w:t>个智能车间被认定为省级示范车间，领跑全省县市区。</w:t>
      </w:r>
    </w:p>
    <w:p w:rsidR="00DF687A" w:rsidRDefault="00C600AE">
      <w:pPr>
        <w:spacing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活力吴江。</w:t>
      </w:r>
      <w:r>
        <w:rPr>
          <w:rFonts w:ascii="仿宋_GB2312" w:eastAsia="仿宋_GB2312" w:hint="eastAsia"/>
          <w:sz w:val="32"/>
          <w:szCs w:val="32"/>
        </w:rPr>
        <w:t>既有中心城区的功能优势，又有县域经济的活力优势。融入主</w:t>
      </w:r>
      <w:proofErr w:type="gramStart"/>
      <w:r>
        <w:rPr>
          <w:rFonts w:ascii="仿宋_GB2312" w:eastAsia="仿宋_GB2312" w:hint="eastAsia"/>
          <w:sz w:val="32"/>
          <w:szCs w:val="32"/>
        </w:rPr>
        <w:t>城步伐</w:t>
      </w:r>
      <w:proofErr w:type="gramEnd"/>
      <w:r>
        <w:rPr>
          <w:rFonts w:ascii="仿宋_GB2312" w:eastAsia="仿宋_GB2312" w:hint="eastAsia"/>
          <w:sz w:val="32"/>
          <w:szCs w:val="32"/>
        </w:rPr>
        <w:t>加快，创新动能持续加强，拥有国</w:t>
      </w:r>
      <w:r>
        <w:rPr>
          <w:rFonts w:ascii="仿宋_GB2312" w:eastAsia="仿宋_GB2312" w:hint="eastAsia"/>
          <w:sz w:val="32"/>
          <w:szCs w:val="32"/>
        </w:rPr>
        <w:lastRenderedPageBreak/>
        <w:t>家级</w:t>
      </w:r>
      <w:proofErr w:type="gramStart"/>
      <w:r>
        <w:rPr>
          <w:rFonts w:ascii="仿宋_GB2312" w:eastAsia="仿宋_GB2312" w:hint="eastAsia"/>
          <w:sz w:val="32"/>
          <w:szCs w:val="32"/>
        </w:rPr>
        <w:t>科创园</w:t>
      </w:r>
      <w:proofErr w:type="gramEnd"/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家，国家级</w:t>
      </w:r>
      <w:proofErr w:type="gramStart"/>
      <w:r>
        <w:rPr>
          <w:rFonts w:ascii="仿宋_GB2312" w:eastAsia="仿宋_GB2312" w:hint="eastAsia"/>
          <w:sz w:val="32"/>
          <w:szCs w:val="32"/>
        </w:rPr>
        <w:t>众创空间</w:t>
      </w:r>
      <w:proofErr w:type="gramEnd"/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家，国家级企业技术中心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家；拥有国家千人计划</w:t>
      </w:r>
      <w:r>
        <w:rPr>
          <w:rFonts w:ascii="仿宋_GB2312" w:eastAsia="仿宋_GB2312" w:hint="eastAsia"/>
          <w:sz w:val="32"/>
          <w:szCs w:val="32"/>
        </w:rPr>
        <w:t>54</w:t>
      </w:r>
      <w:r>
        <w:rPr>
          <w:rFonts w:ascii="仿宋_GB2312" w:eastAsia="仿宋_GB2312" w:hint="eastAsia"/>
          <w:sz w:val="32"/>
          <w:szCs w:val="32"/>
        </w:rPr>
        <w:t>人，国家级企业博士后科研工作站</w:t>
      </w:r>
      <w:r>
        <w:rPr>
          <w:rFonts w:ascii="仿宋_GB2312" w:eastAsia="仿宋_GB2312" w:hint="eastAsia"/>
          <w:sz w:val="32"/>
          <w:szCs w:val="32"/>
        </w:rPr>
        <w:t>46</w:t>
      </w:r>
      <w:r>
        <w:rPr>
          <w:rFonts w:ascii="仿宋_GB2312" w:eastAsia="仿宋_GB2312" w:hint="eastAsia"/>
          <w:sz w:val="32"/>
          <w:szCs w:val="32"/>
        </w:rPr>
        <w:t>家。累计上市企业</w:t>
      </w:r>
      <w:r>
        <w:rPr>
          <w:rFonts w:ascii="仿宋_GB2312" w:eastAsia="仿宋_GB2312" w:hint="eastAsia"/>
          <w:sz w:val="32"/>
          <w:szCs w:val="32"/>
        </w:rPr>
        <w:t>15</w:t>
      </w:r>
      <w:r>
        <w:rPr>
          <w:rFonts w:ascii="仿宋_GB2312" w:eastAsia="仿宋_GB2312" w:hint="eastAsia"/>
          <w:sz w:val="32"/>
          <w:szCs w:val="32"/>
        </w:rPr>
        <w:t>家，“新三板”挂牌企业</w:t>
      </w:r>
      <w:r>
        <w:rPr>
          <w:rFonts w:ascii="仿宋_GB2312" w:eastAsia="仿宋_GB2312" w:hint="eastAsia"/>
          <w:sz w:val="32"/>
          <w:szCs w:val="32"/>
        </w:rPr>
        <w:t>53</w:t>
      </w:r>
      <w:r>
        <w:rPr>
          <w:rFonts w:ascii="仿宋_GB2312" w:eastAsia="仿宋_GB2312" w:hint="eastAsia"/>
          <w:sz w:val="32"/>
          <w:szCs w:val="32"/>
        </w:rPr>
        <w:t>家。高新技术产业和新兴产业产值占比均在</w:t>
      </w:r>
      <w:r>
        <w:rPr>
          <w:rFonts w:ascii="仿宋_GB2312" w:eastAsia="仿宋_GB2312" w:hint="eastAsia"/>
          <w:sz w:val="32"/>
          <w:szCs w:val="32"/>
        </w:rPr>
        <w:t>50%</w:t>
      </w:r>
      <w:r>
        <w:rPr>
          <w:rFonts w:ascii="仿宋_GB2312" w:eastAsia="仿宋_GB2312" w:hint="eastAsia"/>
          <w:sz w:val="32"/>
          <w:szCs w:val="32"/>
        </w:rPr>
        <w:t>左右。通过实施一项政策促转</w:t>
      </w:r>
      <w:r>
        <w:rPr>
          <w:rFonts w:ascii="仿宋_GB2312" w:eastAsia="仿宋_GB2312" w:hint="eastAsia"/>
          <w:sz w:val="32"/>
          <w:szCs w:val="32"/>
        </w:rPr>
        <w:t>型、一张蓝图管发展、一个号码管服务、一枚公章管审批、一支队伍管执法的“五个一”改革，初步实现政策扶持更精准、行政审批更便捷、联动处置更高效、综合执法更规范。</w:t>
      </w:r>
      <w:r>
        <w:rPr>
          <w:rFonts w:ascii="仿宋_GB2312" w:eastAsia="仿宋_GB2312" w:hint="eastAsia"/>
          <w:sz w:val="32"/>
          <w:szCs w:val="32"/>
        </w:rPr>
        <w:t>2017</w:t>
      </w:r>
      <w:r>
        <w:rPr>
          <w:rFonts w:ascii="仿宋_GB2312" w:eastAsia="仿宋_GB2312" w:hint="eastAsia"/>
          <w:sz w:val="32"/>
          <w:szCs w:val="32"/>
        </w:rPr>
        <w:t>年，以此为基础，开展系统化集成式改革探索。</w:t>
      </w:r>
    </w:p>
    <w:p w:rsidR="00DF687A" w:rsidRDefault="00C600AE">
      <w:pPr>
        <w:spacing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绿色吴江。</w:t>
      </w:r>
      <w:r>
        <w:rPr>
          <w:rFonts w:ascii="仿宋_GB2312" w:eastAsia="仿宋_GB2312" w:hint="eastAsia"/>
          <w:sz w:val="32"/>
          <w:szCs w:val="32"/>
        </w:rPr>
        <w:t>水域面积占全区面积</w:t>
      </w:r>
      <w:r>
        <w:rPr>
          <w:rFonts w:ascii="仿宋_GB2312" w:eastAsia="仿宋_GB2312" w:hint="eastAsia"/>
          <w:sz w:val="32"/>
          <w:szCs w:val="32"/>
        </w:rPr>
        <w:t>23%</w:t>
      </w:r>
      <w:r>
        <w:rPr>
          <w:rFonts w:ascii="仿宋_GB2312" w:eastAsia="仿宋_GB2312" w:hint="eastAsia"/>
          <w:sz w:val="32"/>
          <w:szCs w:val="32"/>
        </w:rPr>
        <w:t>，列入</w:t>
      </w:r>
      <w:proofErr w:type="gramStart"/>
      <w:r>
        <w:rPr>
          <w:rFonts w:ascii="仿宋_GB2312" w:eastAsia="仿宋_GB2312" w:hint="eastAsia"/>
          <w:sz w:val="32"/>
          <w:szCs w:val="32"/>
        </w:rPr>
        <w:t>省保护湖泊名录达</w:t>
      </w:r>
      <w:proofErr w:type="gramEnd"/>
      <w:r>
        <w:rPr>
          <w:rFonts w:ascii="仿宋_GB2312" w:eastAsia="仿宋_GB2312" w:hint="eastAsia"/>
          <w:sz w:val="32"/>
          <w:szCs w:val="32"/>
        </w:rPr>
        <w:t>56</w:t>
      </w:r>
      <w:r>
        <w:rPr>
          <w:rFonts w:ascii="仿宋_GB2312" w:eastAsia="仿宋_GB2312" w:hint="eastAsia"/>
          <w:sz w:val="32"/>
          <w:szCs w:val="32"/>
        </w:rPr>
        <w:t>个（含太湖），占全省的</w:t>
      </w:r>
      <w:r>
        <w:rPr>
          <w:rFonts w:ascii="仿宋_GB2312" w:eastAsia="仿宋_GB2312" w:hint="eastAsia"/>
          <w:sz w:val="32"/>
          <w:szCs w:val="32"/>
        </w:rPr>
        <w:t>40%</w:t>
      </w:r>
      <w:r>
        <w:rPr>
          <w:rFonts w:ascii="仿宋_GB2312" w:eastAsia="仿宋_GB2312" w:hint="eastAsia"/>
          <w:sz w:val="32"/>
          <w:szCs w:val="32"/>
        </w:rPr>
        <w:t>。自然湿地保护率达</w:t>
      </w:r>
      <w:r>
        <w:rPr>
          <w:rFonts w:ascii="仿宋_GB2312" w:eastAsia="仿宋_GB2312" w:hint="eastAsia"/>
          <w:sz w:val="32"/>
          <w:szCs w:val="32"/>
        </w:rPr>
        <w:t>72.6%</w:t>
      </w:r>
      <w:r>
        <w:rPr>
          <w:rFonts w:ascii="仿宋_GB2312" w:eastAsia="仿宋_GB2312" w:hint="eastAsia"/>
          <w:sz w:val="32"/>
          <w:szCs w:val="32"/>
        </w:rPr>
        <w:t>，林木覆盖率达</w:t>
      </w:r>
      <w:r>
        <w:rPr>
          <w:rFonts w:ascii="仿宋_GB2312" w:eastAsia="仿宋_GB2312" w:hint="eastAsia"/>
          <w:sz w:val="32"/>
          <w:szCs w:val="32"/>
        </w:rPr>
        <w:t>19.8%</w:t>
      </w:r>
      <w:r>
        <w:rPr>
          <w:rFonts w:ascii="仿宋_GB2312" w:eastAsia="仿宋_GB2312" w:hint="eastAsia"/>
          <w:sz w:val="32"/>
          <w:szCs w:val="32"/>
        </w:rPr>
        <w:t>。太湖岸线</w:t>
      </w:r>
      <w:r>
        <w:rPr>
          <w:rFonts w:ascii="仿宋_GB2312" w:eastAsia="仿宋_GB2312" w:hint="eastAsia"/>
          <w:sz w:val="32"/>
          <w:szCs w:val="32"/>
        </w:rPr>
        <w:t>47</w:t>
      </w:r>
      <w:r>
        <w:rPr>
          <w:rFonts w:ascii="仿宋_GB2312" w:eastAsia="仿宋_GB2312" w:hint="eastAsia"/>
          <w:sz w:val="32"/>
          <w:szCs w:val="32"/>
        </w:rPr>
        <w:t>公里，是整个太湖水质最好、空气最好的区域。现正结合两个总投资分别达到</w:t>
      </w:r>
      <w:r>
        <w:rPr>
          <w:rFonts w:ascii="仿宋_GB2312" w:eastAsia="仿宋_GB2312" w:hint="eastAsia"/>
          <w:sz w:val="32"/>
          <w:szCs w:val="32"/>
        </w:rPr>
        <w:t>80</w:t>
      </w:r>
      <w:r>
        <w:rPr>
          <w:rFonts w:ascii="仿宋_GB2312" w:eastAsia="仿宋_GB2312" w:hint="eastAsia"/>
          <w:sz w:val="32"/>
          <w:szCs w:val="32"/>
        </w:rPr>
        <w:t>亿元的大旅游项目，全力打造“东太湖百里自然风光带”。拥有国家湿地公园建设试点单</w:t>
      </w:r>
      <w:r>
        <w:rPr>
          <w:rFonts w:ascii="仿宋_GB2312" w:eastAsia="仿宋_GB2312" w:hint="eastAsia"/>
          <w:sz w:val="32"/>
          <w:szCs w:val="32"/>
        </w:rPr>
        <w:t>位同里湿地公园、省级森林公园桃源森林公园，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个区镇都建成了一批各具特色的生态公园。同里镇成国际能源变革论坛永久会址。水环境、大气环境质量在“</w:t>
      </w:r>
      <w:r>
        <w:rPr>
          <w:rFonts w:ascii="仿宋_GB2312" w:eastAsia="仿宋_GB2312" w:hint="eastAsia"/>
          <w:sz w:val="32"/>
          <w:szCs w:val="32"/>
        </w:rPr>
        <w:t>263</w:t>
      </w:r>
      <w:r>
        <w:rPr>
          <w:rFonts w:ascii="仿宋_GB2312" w:eastAsia="仿宋_GB2312" w:hint="eastAsia"/>
          <w:sz w:val="32"/>
          <w:szCs w:val="32"/>
        </w:rPr>
        <w:t>”专项行动、三水同治等综合工程实施下明显改善。</w:t>
      </w:r>
    </w:p>
    <w:p w:rsidR="00DF687A" w:rsidRDefault="00C600AE">
      <w:pPr>
        <w:spacing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乐居吴江。</w:t>
      </w:r>
      <w:r>
        <w:rPr>
          <w:rFonts w:ascii="仿宋_GB2312" w:eastAsia="仿宋_GB2312" w:hint="eastAsia"/>
          <w:sz w:val="32"/>
          <w:szCs w:val="32"/>
        </w:rPr>
        <w:t>新城建设加速崛起，太湖新城完成投资</w:t>
      </w:r>
      <w:r>
        <w:rPr>
          <w:rFonts w:ascii="仿宋_GB2312" w:eastAsia="仿宋_GB2312" w:hint="eastAsia"/>
          <w:sz w:val="32"/>
          <w:szCs w:val="32"/>
        </w:rPr>
        <w:t>1200</w:t>
      </w:r>
      <w:r>
        <w:rPr>
          <w:rFonts w:ascii="仿宋_GB2312" w:eastAsia="仿宋_GB2312" w:hint="eastAsia"/>
          <w:sz w:val="32"/>
          <w:szCs w:val="32"/>
        </w:rPr>
        <w:t>亿元，其中政府性投入</w:t>
      </w:r>
      <w:r>
        <w:rPr>
          <w:rFonts w:ascii="仿宋_GB2312" w:eastAsia="仿宋_GB2312" w:hint="eastAsia"/>
          <w:sz w:val="32"/>
          <w:szCs w:val="32"/>
        </w:rPr>
        <w:t>500</w:t>
      </w:r>
      <w:r>
        <w:rPr>
          <w:rFonts w:ascii="仿宋_GB2312" w:eastAsia="仿宋_GB2312" w:hint="eastAsia"/>
          <w:sz w:val="32"/>
          <w:szCs w:val="32"/>
        </w:rPr>
        <w:t>亿元左右，功能配套日趋完善，</w:t>
      </w:r>
      <w:proofErr w:type="gramStart"/>
      <w:r>
        <w:rPr>
          <w:rFonts w:ascii="仿宋_GB2312" w:eastAsia="仿宋_GB2312" w:hint="eastAsia"/>
          <w:sz w:val="32"/>
          <w:szCs w:val="32"/>
        </w:rPr>
        <w:t>产城融合</w:t>
      </w:r>
      <w:proofErr w:type="gramEnd"/>
      <w:r>
        <w:rPr>
          <w:rFonts w:ascii="仿宋_GB2312" w:eastAsia="仿宋_GB2312" w:hint="eastAsia"/>
          <w:sz w:val="32"/>
          <w:szCs w:val="32"/>
        </w:rPr>
        <w:t>发展得到扎实推进。教育、医疗设施布局合理，社会保障全覆盖，投资创业有优惠，人才引进、落户有资助，是一座学有优教、劳有丰酬、病有良医、老有颐养、行有通</w:t>
      </w:r>
      <w:r>
        <w:rPr>
          <w:rFonts w:ascii="仿宋_GB2312" w:eastAsia="仿宋_GB2312" w:hint="eastAsia"/>
          <w:sz w:val="32"/>
          <w:szCs w:val="32"/>
        </w:rPr>
        <w:lastRenderedPageBreak/>
        <w:t>衢、住有适所、天蓝水清的乐居之城，人民群众获得感、幸福感</w:t>
      </w:r>
      <w:r>
        <w:rPr>
          <w:rFonts w:ascii="仿宋_GB2312" w:eastAsia="仿宋_GB2312" w:hint="eastAsia"/>
          <w:sz w:val="32"/>
          <w:szCs w:val="32"/>
        </w:rPr>
        <w:t>和安全感不断提升。</w:t>
      </w:r>
    </w:p>
    <w:p w:rsidR="00DF687A" w:rsidRDefault="00C600AE">
      <w:pPr>
        <w:spacing w:line="580" w:lineRule="exact"/>
        <w:ind w:firstLineChars="200" w:firstLine="640"/>
      </w:pPr>
      <w:r>
        <w:rPr>
          <w:rFonts w:ascii="仿宋_GB2312" w:eastAsia="仿宋_GB2312" w:hint="eastAsia"/>
          <w:sz w:val="32"/>
          <w:szCs w:val="32"/>
        </w:rPr>
        <w:t>当前，吴江正以习近平新时代中国特色社会主义思想为指引，深入贯彻落实党的十九大精神，牢固确立“先进制造业立区、现代服务业兴区”理念，重点实施“</w:t>
      </w:r>
      <w:r>
        <w:rPr>
          <w:rFonts w:ascii="仿宋_GB2312" w:eastAsia="仿宋_GB2312" w:hint="eastAsia"/>
          <w:sz w:val="32"/>
          <w:szCs w:val="32"/>
        </w:rPr>
        <w:t>555</w:t>
      </w:r>
      <w:r>
        <w:rPr>
          <w:rFonts w:ascii="仿宋_GB2312" w:eastAsia="仿宋_GB2312" w:hint="eastAsia"/>
          <w:sz w:val="32"/>
          <w:szCs w:val="32"/>
        </w:rPr>
        <w:t>计划”，推进苏州湾科技城、新型半导体产业园、纺织循环经济产业园、智能装备产业园、现代物流科技园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大平台建设，抓好富民增收、公共服务、美丽镇村、重大交通、平安法治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项民生工程，打造生态文明、智慧城市、创新创业、人文休闲、政务服务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大发展高地。在此基础上，坚持系统化思维、注重规律性把握，全力打造“民营经济发展标杆、智能工业发展标杆、环太湖产城旅融合</w:t>
      </w:r>
      <w:r>
        <w:rPr>
          <w:rFonts w:ascii="仿宋_GB2312" w:eastAsia="仿宋_GB2312" w:hint="eastAsia"/>
          <w:sz w:val="32"/>
          <w:szCs w:val="32"/>
        </w:rPr>
        <w:t>标杆、集成式改革标杆、江南水乡标杆、丝绸文化传承与发展标杆、共建共享共治善治标杆、智慧城市标杆”等“八大标杆”，推动创新生态系统、政务生态系统、自然生态系统、社会生态系统等四大生态系统协同共进，力争吴江高质量发展走在全国同类区域前列。</w:t>
      </w:r>
    </w:p>
    <w:p w:rsidR="00DF687A" w:rsidRDefault="00DF687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F687A" w:rsidRDefault="00DF687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F687A" w:rsidRDefault="00DF687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F687A" w:rsidRDefault="00DF687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F687A" w:rsidRDefault="00DF687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F687A" w:rsidRDefault="00DF687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F687A" w:rsidRDefault="00C600AE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br w:type="page"/>
      </w:r>
    </w:p>
    <w:p w:rsidR="00DF687A" w:rsidRDefault="00C600AE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>吴江教育</w:t>
      </w:r>
      <w:r>
        <w:rPr>
          <w:rFonts w:ascii="方正小标宋简体" w:eastAsia="方正小标宋简体" w:hint="eastAsia"/>
          <w:sz w:val="44"/>
          <w:szCs w:val="44"/>
        </w:rPr>
        <w:t>基本情况介绍</w:t>
      </w:r>
    </w:p>
    <w:p w:rsidR="00DF687A" w:rsidRDefault="00DF687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F687A" w:rsidRDefault="00C600A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吴江自古以来崇文尚教，拥有</w:t>
      </w:r>
      <w:proofErr w:type="gramStart"/>
      <w:r>
        <w:rPr>
          <w:rFonts w:ascii="仿宋_GB2312" w:eastAsia="仿宋_GB2312" w:hint="eastAsia"/>
          <w:sz w:val="32"/>
          <w:szCs w:val="32"/>
        </w:rPr>
        <w:t>同里退思</w:t>
      </w:r>
      <w:proofErr w:type="gramEnd"/>
      <w:r>
        <w:rPr>
          <w:rFonts w:ascii="仿宋_GB2312" w:eastAsia="仿宋_GB2312" w:hint="eastAsia"/>
          <w:sz w:val="32"/>
          <w:szCs w:val="32"/>
        </w:rPr>
        <w:t>园、大运河吴江段、吴江运河古</w:t>
      </w:r>
      <w:proofErr w:type="gramStart"/>
      <w:r>
        <w:rPr>
          <w:rFonts w:ascii="仿宋_GB2312" w:eastAsia="仿宋_GB2312" w:hint="eastAsia"/>
          <w:sz w:val="32"/>
          <w:szCs w:val="32"/>
        </w:rPr>
        <w:t>纤</w:t>
      </w:r>
      <w:proofErr w:type="gramEnd"/>
      <w:r>
        <w:rPr>
          <w:rFonts w:ascii="仿宋_GB2312" w:eastAsia="仿宋_GB2312" w:hint="eastAsia"/>
          <w:sz w:val="32"/>
          <w:szCs w:val="32"/>
        </w:rPr>
        <w:t>道三处世界历史文化遗产及同里、黎里、震泽三个中国历史文化名镇，积淀了蚕桑丝绸文化、水乡古镇文化、千年运河文化、</w:t>
      </w:r>
      <w:proofErr w:type="gramStart"/>
      <w:r>
        <w:rPr>
          <w:rFonts w:ascii="仿宋_GB2312" w:eastAsia="仿宋_GB2312" w:hint="eastAsia"/>
          <w:sz w:val="32"/>
          <w:szCs w:val="32"/>
        </w:rPr>
        <w:t>莼</w:t>
      </w:r>
      <w:proofErr w:type="gramEnd"/>
      <w:r>
        <w:rPr>
          <w:rFonts w:ascii="仿宋_GB2312" w:eastAsia="仿宋_GB2312" w:hint="eastAsia"/>
          <w:sz w:val="32"/>
          <w:szCs w:val="32"/>
        </w:rPr>
        <w:t>鲈诗词文化、国学文化和江村富民文化等一大批特色鲜明的文化资源</w:t>
      </w:r>
      <w:r>
        <w:rPr>
          <w:rFonts w:ascii="仿宋_GB2312" w:eastAsia="仿宋_GB2312" w:hint="eastAsia"/>
          <w:sz w:val="32"/>
          <w:szCs w:val="32"/>
        </w:rPr>
        <w:t>，孕育了春秋时期政治家范蠡，唐代文学家陆龟蒙，清代天文学家王锡</w:t>
      </w:r>
      <w:proofErr w:type="gramStart"/>
      <w:r>
        <w:rPr>
          <w:rFonts w:ascii="仿宋_GB2312" w:eastAsia="仿宋_GB2312" w:hint="eastAsia"/>
          <w:sz w:val="32"/>
          <w:szCs w:val="32"/>
        </w:rPr>
        <w:t>阐</w:t>
      </w:r>
      <w:proofErr w:type="gramEnd"/>
      <w:r>
        <w:rPr>
          <w:rFonts w:ascii="仿宋_GB2312" w:eastAsia="仿宋_GB2312" w:hint="eastAsia"/>
          <w:sz w:val="32"/>
          <w:szCs w:val="32"/>
        </w:rPr>
        <w:t>，辛亥革命风云人物陈去病，爱国诗人柳亚子，社会学家费孝通、“两弹一星”</w:t>
      </w:r>
      <w:proofErr w:type="gramStart"/>
      <w:r>
        <w:rPr>
          <w:rFonts w:ascii="仿宋_GB2312" w:eastAsia="仿宋_GB2312" w:hint="eastAsia"/>
          <w:sz w:val="32"/>
          <w:szCs w:val="32"/>
        </w:rPr>
        <w:t>功勋程开甲等</w:t>
      </w:r>
      <w:proofErr w:type="gramEnd"/>
      <w:r>
        <w:rPr>
          <w:rFonts w:ascii="仿宋_GB2312" w:eastAsia="仿宋_GB2312" w:hint="eastAsia"/>
          <w:sz w:val="32"/>
          <w:szCs w:val="32"/>
        </w:rPr>
        <w:t>140</w:t>
      </w:r>
      <w:r>
        <w:rPr>
          <w:rFonts w:ascii="仿宋_GB2312" w:eastAsia="仿宋_GB2312" w:hint="eastAsia"/>
          <w:sz w:val="32"/>
          <w:szCs w:val="32"/>
        </w:rPr>
        <w:t>多位著名人物以及享誉海内外的</w:t>
      </w:r>
      <w:r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位中科院、工程院院士。</w:t>
      </w:r>
    </w:p>
    <w:p w:rsidR="00DF687A" w:rsidRDefault="00C600AE">
      <w:pPr>
        <w:spacing w:line="550" w:lineRule="exact"/>
        <w:ind w:firstLine="600"/>
        <w:jc w:val="left"/>
        <w:rPr>
          <w:rFonts w:ascii="仿宋_GB2312" w:eastAsia="仿宋_GB2312"/>
          <w:spacing w:val="-4"/>
          <w:kern w:val="32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pacing w:val="-4"/>
          <w:sz w:val="32"/>
          <w:szCs w:val="32"/>
        </w:rPr>
        <w:t>近年来，吴江教育始终围绕“办人民满意的教育”的目标，坚持“在均衡的基础上求特色，在有教的基础上求优教”发展战略，坚持规划引领，加大教育投入，教育资源日益丰富，教育工作成效明显。</w:t>
      </w:r>
      <w:r>
        <w:rPr>
          <w:rFonts w:ascii="仿宋_GB2312" w:eastAsia="仿宋_GB2312" w:hint="eastAsia"/>
          <w:sz w:val="32"/>
          <w:szCs w:val="32"/>
        </w:rPr>
        <w:t>五年来，</w:t>
      </w:r>
      <w:r>
        <w:rPr>
          <w:rFonts w:ascii="仿宋_GB2312" w:eastAsia="仿宋_GB2312" w:hAnsi="宋体" w:hint="eastAsia"/>
          <w:sz w:val="32"/>
          <w:szCs w:val="32"/>
        </w:rPr>
        <w:t>全区共投资</w:t>
      </w:r>
      <w:r>
        <w:rPr>
          <w:rFonts w:ascii="仿宋_GB2312" w:eastAsia="仿宋_GB2312" w:hAnsi="宋体" w:hint="eastAsia"/>
          <w:sz w:val="32"/>
          <w:szCs w:val="32"/>
        </w:rPr>
        <w:t>39.38</w:t>
      </w:r>
      <w:r>
        <w:rPr>
          <w:rFonts w:ascii="仿宋_GB2312" w:eastAsia="仿宋_GB2312" w:hAnsi="宋体" w:hint="eastAsia"/>
          <w:sz w:val="32"/>
          <w:szCs w:val="32"/>
        </w:rPr>
        <w:t>亿元，新建学校及幼儿园</w:t>
      </w:r>
      <w:r>
        <w:rPr>
          <w:rFonts w:ascii="仿宋_GB2312" w:eastAsia="仿宋_GB2312" w:hAnsi="宋体" w:hint="eastAsia"/>
          <w:sz w:val="32"/>
          <w:szCs w:val="32"/>
        </w:rPr>
        <w:t>29</w:t>
      </w:r>
      <w:r>
        <w:rPr>
          <w:rFonts w:ascii="仿宋_GB2312" w:eastAsia="仿宋_GB2312" w:hAnsi="宋体" w:hint="eastAsia"/>
          <w:sz w:val="32"/>
          <w:szCs w:val="32"/>
        </w:rPr>
        <w:t>所，改扩建项目</w:t>
      </w:r>
      <w:r>
        <w:rPr>
          <w:rFonts w:ascii="仿宋_GB2312" w:eastAsia="仿宋_GB2312" w:hAnsi="宋体" w:hint="eastAsia"/>
          <w:sz w:val="32"/>
          <w:szCs w:val="32"/>
        </w:rPr>
        <w:t>32</w:t>
      </w:r>
      <w:r>
        <w:rPr>
          <w:rFonts w:ascii="仿宋_GB2312" w:eastAsia="仿宋_GB2312" w:hAnsi="宋体" w:hint="eastAsia"/>
          <w:sz w:val="32"/>
          <w:szCs w:val="32"/>
        </w:rPr>
        <w:t>个，新增学位</w:t>
      </w:r>
      <w:r>
        <w:rPr>
          <w:rFonts w:ascii="仿宋_GB2312" w:eastAsia="仿宋_GB2312" w:hAnsi="宋体" w:hint="eastAsia"/>
          <w:sz w:val="32"/>
          <w:szCs w:val="32"/>
        </w:rPr>
        <w:t>3.45</w:t>
      </w:r>
      <w:r>
        <w:rPr>
          <w:rFonts w:ascii="仿宋_GB2312" w:eastAsia="仿宋_GB2312" w:hAnsi="宋体" w:hint="eastAsia"/>
          <w:sz w:val="32"/>
          <w:szCs w:val="32"/>
        </w:rPr>
        <w:t>万余个。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我区现有各级各类全日制学校（幼儿园）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159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所，包括幼儿园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59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、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小学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54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、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初中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33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、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高中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9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、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中专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2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所，特殊教育学校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1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所，职院校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1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所。另有成人教育中心校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8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所，区社区培训学院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1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所。累计创建市级以上优质幼儿园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57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所（</w:t>
      </w:r>
      <w:proofErr w:type="gramStart"/>
      <w:r>
        <w:rPr>
          <w:rFonts w:ascii="仿宋_GB2312" w:eastAsia="仿宋_GB2312" w:hint="eastAsia"/>
          <w:spacing w:val="-4"/>
          <w:kern w:val="32"/>
          <w:sz w:val="32"/>
          <w:szCs w:val="32"/>
        </w:rPr>
        <w:t>含省优质</w:t>
      </w:r>
      <w:proofErr w:type="gramEnd"/>
      <w:r>
        <w:rPr>
          <w:rFonts w:ascii="仿宋_GB2312" w:eastAsia="仿宋_GB2312" w:hint="eastAsia"/>
          <w:spacing w:val="-4"/>
          <w:kern w:val="32"/>
          <w:sz w:val="32"/>
          <w:szCs w:val="32"/>
        </w:rPr>
        <w:t>幼儿园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47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所），省四星级普通高中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4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所，三星级普通高中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2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所，省四星级职中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2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所，省现代化特殊教育学校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1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所，区社区培训学院和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7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所镇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(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区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)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社区教育中心均达到省级标准。目前，全日制普通中小幼及中高职在校（园）学生共计有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189491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人。全区学前三年入园率、义务教育阶段适龄儿童入学率、巩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lastRenderedPageBreak/>
        <w:t>固率保持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100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%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，残疾儿童少年毛入学率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100%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。高中段毛入学率保持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100%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，</w:t>
      </w:r>
      <w:proofErr w:type="gramStart"/>
      <w:r>
        <w:rPr>
          <w:rFonts w:ascii="仿宋_GB2312" w:eastAsia="仿宋_GB2312" w:hint="eastAsia"/>
          <w:spacing w:val="-4"/>
          <w:kern w:val="32"/>
          <w:sz w:val="32"/>
          <w:szCs w:val="32"/>
        </w:rPr>
        <w:t>普职比</w:t>
      </w:r>
      <w:proofErr w:type="gramEnd"/>
      <w:r>
        <w:rPr>
          <w:rFonts w:ascii="仿宋_GB2312" w:eastAsia="仿宋_GB2312" w:hint="eastAsia"/>
          <w:spacing w:val="-4"/>
          <w:kern w:val="32"/>
          <w:sz w:val="32"/>
          <w:szCs w:val="32"/>
        </w:rPr>
        <w:t>1:1.1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。全区拥有国家“万人计划”教学名师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2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人，省人民教育家培养工程培养对象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2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人、</w:t>
      </w:r>
      <w:proofErr w:type="gramStart"/>
      <w:r>
        <w:rPr>
          <w:rFonts w:ascii="仿宋_GB2312" w:eastAsia="仿宋_GB2312" w:hint="eastAsia"/>
          <w:spacing w:val="-4"/>
          <w:kern w:val="32"/>
          <w:sz w:val="32"/>
          <w:szCs w:val="32"/>
        </w:rPr>
        <w:t>在职省</w:t>
      </w:r>
      <w:proofErr w:type="gramEnd"/>
      <w:r>
        <w:rPr>
          <w:rFonts w:ascii="仿宋_GB2312" w:eastAsia="仿宋_GB2312" w:hint="eastAsia"/>
          <w:spacing w:val="-4"/>
          <w:kern w:val="32"/>
          <w:sz w:val="32"/>
          <w:szCs w:val="32"/>
        </w:rPr>
        <w:t>特级教师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31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人，苏州市名教师名校长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61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人、学科（术）带头人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190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人，区级以上骨干教师比例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32%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。先后荣获全国数字化学习先行区、全国义务教育发展基本均衡县（市、区）、全国社区教育实验区、全国中小学责任督学挂牌督导创新县（市、区）等荣誉称号。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2017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年，吴江紧紧把牢新时代教育发展方向，出台了《深化教育综合改革全面提高教育质量三年行动计划》，持续深入聚焦教育</w:t>
      </w:r>
      <w:r>
        <w:rPr>
          <w:rFonts w:ascii="仿宋_GB2312" w:eastAsia="仿宋_GB2312" w:hint="eastAsia"/>
          <w:spacing w:val="-4"/>
          <w:kern w:val="32"/>
          <w:sz w:val="32"/>
          <w:szCs w:val="32"/>
        </w:rPr>
        <w:t>投入体制、办学体制、教师管理体制、人才培养体制等方面改革。</w:t>
      </w:r>
    </w:p>
    <w:p w:rsidR="00DF687A" w:rsidRDefault="00DF687A">
      <w:pPr>
        <w:spacing w:line="560" w:lineRule="exact"/>
      </w:pPr>
    </w:p>
    <w:sectPr w:rsidR="00DF68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1F63"/>
    <w:rsid w:val="00023339"/>
    <w:rsid w:val="00075C96"/>
    <w:rsid w:val="00216029"/>
    <w:rsid w:val="00246324"/>
    <w:rsid w:val="004A3C37"/>
    <w:rsid w:val="00625B56"/>
    <w:rsid w:val="00670937"/>
    <w:rsid w:val="006C240B"/>
    <w:rsid w:val="00700F23"/>
    <w:rsid w:val="007C3A5C"/>
    <w:rsid w:val="007E6C1E"/>
    <w:rsid w:val="00894019"/>
    <w:rsid w:val="008B1F63"/>
    <w:rsid w:val="008F6533"/>
    <w:rsid w:val="009041D6"/>
    <w:rsid w:val="00925058"/>
    <w:rsid w:val="00944282"/>
    <w:rsid w:val="00B25793"/>
    <w:rsid w:val="00B26259"/>
    <w:rsid w:val="00B30B18"/>
    <w:rsid w:val="00BE4D3C"/>
    <w:rsid w:val="00C600AE"/>
    <w:rsid w:val="00C65202"/>
    <w:rsid w:val="00DC52DE"/>
    <w:rsid w:val="00DF687A"/>
    <w:rsid w:val="00E73ECF"/>
    <w:rsid w:val="00EB3650"/>
    <w:rsid w:val="00F71CFB"/>
    <w:rsid w:val="00F97E25"/>
    <w:rsid w:val="08225173"/>
    <w:rsid w:val="161A7867"/>
    <w:rsid w:val="19600452"/>
    <w:rsid w:val="2D5D6C03"/>
    <w:rsid w:val="35753AEA"/>
    <w:rsid w:val="3B214E04"/>
    <w:rsid w:val="52521B42"/>
    <w:rsid w:val="5AB87882"/>
    <w:rsid w:val="6B570F0A"/>
    <w:rsid w:val="70AE4531"/>
    <w:rsid w:val="78196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440A8FE-A645-4FE6-9A17-87224ED5C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463</Words>
  <Characters>2642</Characters>
  <Application>Microsoft Office Word</Application>
  <DocSecurity>0</DocSecurity>
  <Lines>22</Lines>
  <Paragraphs>6</Paragraphs>
  <ScaleCrop>false</ScaleCrop>
  <Company>Microsoft</Company>
  <LinksUpToDate>false</LinksUpToDate>
  <CharactersWithSpaces>3099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办公室-刘聪</dc:creator>
  <cp:lastModifiedBy>AutoBVT</cp:lastModifiedBy>
  <cp:revision>3</cp:revision>
  <dcterms:created xsi:type="dcterms:W3CDTF">2018-10-15T06:05:00Z</dcterms:created>
  <dcterms:modified xsi:type="dcterms:W3CDTF">2018-11-09T05:24:00Z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