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0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5"/>
        <w:gridCol w:w="884"/>
        <w:gridCol w:w="3539"/>
        <w:gridCol w:w="1445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招聘岗位</w:t>
            </w:r>
          </w:p>
        </w:tc>
        <w:tc>
          <w:tcPr>
            <w:tcW w:w="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招聘人数</w:t>
            </w:r>
          </w:p>
        </w:tc>
        <w:tc>
          <w:tcPr>
            <w:tcW w:w="3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所需专业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学历、学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位要求</w:t>
            </w:r>
          </w:p>
        </w:tc>
        <w:tc>
          <w:tcPr>
            <w:tcW w:w="15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专业技术资格要求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0" w:hRule="atLeast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专任教师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马克思主义理论（0305）、理论经济学（0201）、应用经济学（0202）、政治学（0302）、公共管理（1204）、社会学（0303）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硕士研究生及以上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具有教授专业技术资格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2664D"/>
    <w:rsid w:val="2E426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2018-11-14T07:28:00Z</dcterms:created>
  <dc:creator>ASUS</dc:creator>
  <cp:lastModifiedBy>ASUS</cp:lastModifiedBy>
  <dcterms:modified xsi:type="dcterms:W3CDTF">2018-11-14T07:28:19Z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