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80" w:lineRule="atLeast"/>
        <w:jc w:val="left"/>
      </w:pPr>
      <w:r>
        <w:rPr>
          <w:rFonts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  <w:t>学科带头人招聘计划及招聘条件</w:t>
      </w:r>
      <w:bookmarkStart w:id="0" w:name="_GoBack"/>
      <w:bookmarkEnd w:id="0"/>
    </w:p>
    <w:tbl>
      <w:tblPr>
        <w:tblW w:w="10095" w:type="dxa"/>
        <w:jc w:val="center"/>
        <w:tblCellSpacing w:w="15" w:type="dxa"/>
        <w:tblInd w:w="-8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03"/>
        <w:gridCol w:w="1458"/>
        <w:gridCol w:w="4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458" w:type="dxa"/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05" w:right="105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专业、学科</w:t>
            </w:r>
          </w:p>
        </w:tc>
        <w:tc>
          <w:tcPr>
            <w:tcW w:w="1428" w:type="dxa"/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5" w:right="105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4089" w:type="dxa"/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458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105" w:right="105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计算机科学与技术、会计学、电子商务、机械工程、电气工程、电子信息、室内艺术设计、动漫设计、工程造价、建筑工程技术、护理学、助产学</w:t>
            </w:r>
          </w:p>
        </w:tc>
        <w:tc>
          <w:tcPr>
            <w:tcW w:w="1428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05" w:right="105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4089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105" w:right="105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1.博士研究生，年龄不超过40周岁。或正高职称，年龄不超过50周岁。或身心健康、能胜任岗位需要的优秀退休返聘教授。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105" w:right="105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2.有高校学科建设、专业建设工作经历，主持过省级及以上项目。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105" w:right="105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3.有较高的学术造诣和职业素养，在学科（专业）或行业领域中有一定影响。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135"/>
              <w:jc w:val="left"/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4.入选省人才项目者优先。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C2030"/>
    <w:rsid w:val="2EEC20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styleId="7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8">
    <w:name w:val="HTML Cite"/>
    <w:basedOn w:val="3"/>
    <w:uiPriority w:val="0"/>
    <w:rPr>
      <w:i/>
      <w:bdr w:val="none" w:color="auto" w:sz="0" w:space="0"/>
    </w:rPr>
  </w:style>
  <w:style w:type="character" w:customStyle="1" w:styleId="10">
    <w:name w:val="open"/>
    <w:basedOn w:val="3"/>
    <w:uiPriority w:val="0"/>
    <w:rPr>
      <w:shd w:val="clear" w:fill="E0F0FD"/>
    </w:rPr>
  </w:style>
  <w:style w:type="character" w:customStyle="1" w:styleId="11">
    <w:name w:val="nomenu"/>
    <w:basedOn w:val="3"/>
    <w:uiPriority w:val="0"/>
    <w:rPr>
      <w:shd w:val="clear" w:fill="F2F9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2018-11-15T12:26:00Z</dcterms:created>
  <dc:creator>天空</dc:creator>
  <cp:lastModifiedBy>天空</cp:lastModifiedBy>
  <dcterms:modified xsi:type="dcterms:W3CDTF">2018-11-15T12:27:29Z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