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rStyle w:val="4"/>
          <w:color w:val="000000"/>
          <w:sz w:val="18"/>
          <w:szCs w:val="18"/>
        </w:rPr>
        <w:t>招聘岗位、计划及要求一览表</w:t>
      </w:r>
      <w:bookmarkStart w:id="0" w:name="_GoBack"/>
      <w:bookmarkEnd w:id="0"/>
    </w:p>
    <w:tbl>
      <w:tblPr>
        <w:tblW w:w="8835" w:type="dxa"/>
        <w:jc w:val="center"/>
        <w:tblCellSpacing w:w="0" w:type="dxa"/>
        <w:tblInd w:w="-2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765"/>
        <w:gridCol w:w="795"/>
        <w:gridCol w:w="750"/>
        <w:gridCol w:w="2415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color w:val="000000"/>
                <w:sz w:val="18"/>
                <w:szCs w:val="18"/>
              </w:rPr>
              <w:t>岗位类别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color w:val="000000"/>
                <w:sz w:val="18"/>
                <w:szCs w:val="18"/>
              </w:rPr>
              <w:t>招聘计划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color w:val="000000"/>
                <w:sz w:val="18"/>
                <w:szCs w:val="18"/>
              </w:rPr>
              <w:t>学历学位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color w:val="000000"/>
                <w:sz w:val="18"/>
                <w:szCs w:val="1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法学院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国际经济与贸易、工商管理、教育技术学、物流管理、信息管理与信息系统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要求本科为电子商务专业。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15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师范学院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要求本硕专业均为学前教育。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59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5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数学与计算科学学院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学科教学论（数学方向）、课程与教学论（数学方向）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要求能胜任课程与教学论相关课程的教学。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159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金融类、经济学类、统计学类（金融方向）、概率论与数理统计（金融方向）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要求能胜任金融数学相关课程的教学。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  <w:jc w:val="center"/>
        </w:trPr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物理与电子科学学院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物联网工程、通信工程或计算机技术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要求能承担大数据与云计算、物联网操作系统、物联网通信技术、RFID技术应用或物联网应用系统设计等专业主干课的教学。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计算机科学与技术学院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计算机科学与技术、软件工程、控制科学与工程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tblCellSpacing w:w="0" w:type="dxa"/>
          <w:jc w:val="center"/>
        </w:trPr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电气与通信工程学院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控制科学与工程、电气工程、信息与通信工程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要求本硕专业一致。有实际工作经历优先，有全国电子设计大赛获奖经历优先。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5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艺术表演与传媒学院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音乐与舞蹈学（合唱指挥方向）</w:t>
            </w:r>
          </w:p>
        </w:tc>
        <w:tc>
          <w:tcPr>
            <w:tcW w:w="252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要求“双一流”建设高校或学科毕业，或专业院校毕业。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59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音乐与舞蹈学（舞蹈编导方向）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59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美术学院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美术学</w:t>
            </w:r>
          </w:p>
        </w:tc>
        <w:tc>
          <w:tcPr>
            <w:tcW w:w="252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要求“双一流”建设高校或学科毕业，或专业院校毕业。且本硕专业一致。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59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环境设计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体育学院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体育教育训练学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要求本科为体育专业，并能承担《学校体育学》和《中学体育教材教法》课程教学任务。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国际学院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计算机科学与技术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tblCellSpacing w:w="0" w:type="dxa"/>
          <w:jc w:val="center"/>
        </w:trPr>
        <w:tc>
          <w:tcPr>
            <w:tcW w:w="15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信息与网络中心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教辅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教育技术学、计算机科学与技术、软件工程、信息与通信工程、电子科学与技术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8835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color w:val="000000"/>
                <w:sz w:val="18"/>
                <w:szCs w:val="18"/>
              </w:rPr>
              <w:t>说明：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1.应聘教师岗位的硕士研究生应为“双一流”建设高校或学科毕业生（艺术类专业还可以为专业院校毕业生）；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2.应聘的硕士研究生应为全日制本科、硕士毕业，且取得相应的学历学位；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000000"/>
                <w:sz w:val="18"/>
                <w:szCs w:val="18"/>
              </w:rPr>
              <w:t>3.硕士研究生年龄要求在30周岁以下（即1988年1月1日以后出生），特别优秀的年龄可适当放宽。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E5709"/>
    <w:rsid w:val="4F1E57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2018-11-16T06:46:00Z</dcterms:created>
  <dc:creator>天空</dc:creator>
  <cp:lastModifiedBy>天空</cp:lastModifiedBy>
  <dcterms:modified xsi:type="dcterms:W3CDTF">2018-11-16T06:47:12Z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