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</w:t>
      </w:r>
    </w:p>
    <w:p>
      <w:pPr>
        <w:jc w:val="center"/>
        <w:rPr>
          <w:rFonts w:hint="eastAsia" w:ascii="宋体" w:hAnsi="宋体" w:cs="宋体"/>
          <w:sz w:val="40"/>
          <w:szCs w:val="40"/>
        </w:rPr>
      </w:pPr>
      <w:r>
        <w:rPr>
          <w:rFonts w:hint="eastAsia" w:ascii="宋体" w:hAnsi="宋体" w:cs="宋体"/>
          <w:sz w:val="40"/>
          <w:szCs w:val="40"/>
        </w:rPr>
        <w:t>招聘岗位人数及专业要求</w:t>
      </w:r>
    </w:p>
    <w:p>
      <w:pPr>
        <w:jc w:val="center"/>
        <w:rPr>
          <w:rFonts w:hint="eastAsia" w:ascii="仿宋_GB2312" w:eastAsia="仿宋_GB2312"/>
          <w:sz w:val="28"/>
          <w:szCs w:val="28"/>
        </w:rPr>
      </w:pPr>
    </w:p>
    <w:tbl>
      <w:tblPr>
        <w:tblStyle w:val="3"/>
        <w:tblW w:w="919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"/>
        <w:gridCol w:w="1197"/>
        <w:gridCol w:w="782"/>
        <w:gridCol w:w="69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6" w:type="dxa"/>
            <w:vMerge w:val="restart"/>
            <w:tcBorders>
              <w:top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7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69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招聘专业要求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36" w:type="dxa"/>
            <w:vMerge w:val="continue"/>
            <w:tcBorders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语文</w:t>
            </w:r>
          </w:p>
        </w:tc>
        <w:tc>
          <w:tcPr>
            <w:tcW w:w="7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sz w:val="24"/>
              </w:rPr>
              <w:t>1</w:t>
            </w:r>
          </w:p>
        </w:tc>
        <w:tc>
          <w:tcPr>
            <w:tcW w:w="69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语文、语文教育、汉语言文学、汉语言文学教育、中国古代文学、中国现当代文学、语言学与应用语言学、小学教育（语文）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36" w:type="dxa"/>
            <w:vMerge w:val="continue"/>
            <w:tcBorders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数学</w:t>
            </w:r>
          </w:p>
        </w:tc>
        <w:tc>
          <w:tcPr>
            <w:tcW w:w="7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sz w:val="24"/>
              </w:rPr>
              <w:t>1</w:t>
            </w:r>
          </w:p>
        </w:tc>
        <w:tc>
          <w:tcPr>
            <w:tcW w:w="69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数学、数学与应用数学、数学教育、数学课程与教学论、学科教学（数学）、基础数学、小学教育（数学）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36" w:type="dxa"/>
            <w:vMerge w:val="continue"/>
            <w:tcBorders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CCFFCC" w:fill="FFFFFF"/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化学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FFFF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</w:t>
            </w:r>
          </w:p>
        </w:tc>
        <w:tc>
          <w:tcPr>
            <w:tcW w:w="697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CCFFCC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化学、化学工程与工艺、化学教育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236" w:type="dxa"/>
            <w:vMerge w:val="continue"/>
            <w:tcBorders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CCFFCC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地理</w:t>
            </w:r>
          </w:p>
        </w:tc>
        <w:tc>
          <w:tcPr>
            <w:tcW w:w="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FFFF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1</w:t>
            </w:r>
          </w:p>
        </w:tc>
        <w:tc>
          <w:tcPr>
            <w:tcW w:w="6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CCFFCC" w:fill="FFFFFF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地理科学、自然地理与资源环境、自然地理学、人文地理学、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地球信息科学与技术、地理信息科学、人文地理与城乡规划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D0A83"/>
    <w:rsid w:val="110D0A8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m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2018-11-19T04:19:00Z</dcterms:created>
  <dc:creator>天空</dc:creator>
  <cp:lastModifiedBy>天空</cp:lastModifiedBy>
  <dcterms:modified xsi:type="dcterms:W3CDTF">2018-11-19T04:19:56Z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