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5385"/>
        <w:gridCol w:w="20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295" w:type="dxa"/>
            <w:gridSpan w:val="3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内蒙古机电职业技术学院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2018年公开</w:t>
            </w:r>
            <w:bookmarkStart w:id="0" w:name="_GoBack"/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招聘工作人员专任教师、专职辅导员岗位笔试分数线划定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38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07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笔试分数线（分）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8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专任教师岗</w:t>
            </w:r>
          </w:p>
        </w:tc>
        <w:tc>
          <w:tcPr>
            <w:tcW w:w="207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4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8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专职辅导员岗、管理岗</w:t>
            </w:r>
          </w:p>
        </w:tc>
        <w:tc>
          <w:tcPr>
            <w:tcW w:w="2070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   说明：以上最低合格分数线是所有岗位的最低分数控制线，各岗位按照应聘人员笔试成绩由高分到低分的顺序和3∶1的比例确定进入资格复审范围。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82E75"/>
    <w:rsid w:val="24282E7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2018-11-22T10:28:00Z</dcterms:created>
  <dc:creator>zrt</dc:creator>
  <cp:lastModifiedBy>zrt</cp:lastModifiedBy>
  <dcterms:modified xsi:type="dcterms:W3CDTF">2018-11-22T10:29:26Z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