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63" w:lineRule="atLeast"/>
        <w:ind w:left="0" w:right="0" w:firstLine="643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岗位名称</w:t>
      </w:r>
    </w:p>
    <w:tbl>
      <w:tblPr>
        <w:tblW w:w="9450" w:type="dxa"/>
        <w:jc w:val="center"/>
        <w:tblInd w:w="-46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1511"/>
        <w:gridCol w:w="864"/>
        <w:gridCol w:w="947"/>
        <w:gridCol w:w="720"/>
        <w:gridCol w:w="44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15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354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118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9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39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最低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39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4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1547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办公室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文综政务岗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2人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4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承担文字综合、档案管理、行政管理等工作，中文类、思政类优先考虑。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34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文秘岗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1人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4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承担文印等工作。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36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综合岗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1人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4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承担财务统计、人力资源管理、党群等工作。具有财务工作经验人员或财务类专业毕业生优先考虑。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教务部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36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综合岗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1人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4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承担学员档案管理、培训班教学设计、教学活动协调、教学质量评估等工作。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培训部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36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教员岗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10人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4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承担培训班教学讲解和组织管理等工作。男性身高1.68米及以上，女性身高1.58米及以上，形象气质佳、沟通能力强，有播音主持经验的优先考虑。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0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科研和信息管理部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36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科研岗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2人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118" w:right="0" w:hanging="118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承担教材、教学开发和教学长远规划，研究整理江西省、井冈山、中央苏区、江西省工人运动有关史料等工作。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科研助理岗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2人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 w:firstLine="241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  <w:lang w:val="en-US" w:eastAsia="zh-CN" w:bidi="ar"/>
              </w:rPr>
              <w:t>协助承担教材、教学开发和教学长远规划，研究整理江西省、井冈山、中央苏区、江西省工人运动有关史料等工作。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63" w:lineRule="atLeast"/>
        <w:ind w:left="0" w:right="0" w:firstLine="643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F4524"/>
    <w:rsid w:val="364F45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2018-12-13T09:12:00Z</dcterms:created>
  <dc:creator>ASUS</dc:creator>
  <cp:lastModifiedBy>ASUS</cp:lastModifiedBy>
  <dcterms:modified xsi:type="dcterms:W3CDTF">2018-12-13T09:13:03Z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