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caps w:val="0"/>
          <w:color w:val="444444"/>
          <w:spacing w:val="0"/>
          <w:sz w:val="21"/>
          <w:szCs w:val="21"/>
          <w:u w:val="none"/>
        </w:rPr>
      </w:pPr>
      <w:bookmarkStart w:id="0" w:name="_GoBack"/>
      <w:r>
        <w:rPr>
          <w:rFonts w:ascii="宋体" w:hAnsi="宋体" w:eastAsia="宋体" w:cs="宋体"/>
          <w:i w:val="0"/>
          <w:caps w:val="0"/>
          <w:color w:val="444444"/>
          <w:spacing w:val="0"/>
          <w:sz w:val="21"/>
          <w:szCs w:val="21"/>
          <w:u w:val="none"/>
          <w:bdr w:val="none" w:color="auto" w:sz="0" w:space="0"/>
          <w:shd w:val="clear" w:fill="FFFFFF"/>
        </w:rPr>
        <w:t>其他人才待遇</w:t>
      </w:r>
    </w:p>
    <w:bookmarkEnd w:id="0"/>
    <w:tbl>
      <w:tblPr>
        <w:tblW w:w="8303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55"/>
        <w:gridCol w:w="1751"/>
        <w:gridCol w:w="997"/>
        <w:gridCol w:w="997"/>
        <w:gridCol w:w="90"/>
        <w:gridCol w:w="111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博士层次</w:t>
            </w:r>
          </w:p>
        </w:tc>
        <w:tc>
          <w:tcPr>
            <w:tcW w:w="17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安家费（万）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购房补贴（万）</w:t>
            </w:r>
          </w:p>
        </w:tc>
        <w:tc>
          <w:tcPr>
            <w:tcW w:w="120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科研启动费参考标准（万）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5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一般博士</w:t>
            </w:r>
          </w:p>
        </w:tc>
        <w:tc>
          <w:tcPr>
            <w:tcW w:w="17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无海外经历或海外经历一年以下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文3-4、理5-6、工医7-8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5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7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海外经历一年以上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文5-6、理7-8、工医9-10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5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紧缺专业毕业博士、海外毕业博士、全球三大排名前200名高校毕业博士、业绩或背景突出博士</w:t>
            </w:r>
          </w:p>
        </w:tc>
        <w:tc>
          <w:tcPr>
            <w:tcW w:w="17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满足一个条件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文5-6、理7-8、工医9-10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5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7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满足两个条件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文7-8、理9-10、工医11-12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5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7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满足三个条件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文9-10、理11-12、工医13-15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5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7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满足两个及以上条件且业绩特别突出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20-25</w:t>
            </w:r>
          </w:p>
        </w:tc>
        <w:tc>
          <w:tcPr>
            <w:tcW w:w="108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25-30</w:t>
            </w:r>
          </w:p>
        </w:tc>
        <w:tc>
          <w:tcPr>
            <w:tcW w:w="11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10-50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3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本表说明： 1. 引进人才取得博士毕业证和学位证，并正式报到上岗后，学校按本表提供相关待遇； 2. 视专业(学科)及立项情况，由学校确定是否提供科研启动费。如决定提供科研启动费，其参考标准见本表； 3. 安家费为一次性支付，住房补贴分八年支付（根据货币化分房政策，学校如出台相关政策，博士购房补助则按学校制定的货币化分房政策执行）； 4. 夫妻双方同为博士，安家费和购房补贴合并计算，为正常值的1.5倍；科研启动费分别计算。但如夫妻双方同为985高校、国内外知名科研院所、全球三大排名前400名高校，或夫妻双方所学专业均为紧缺专业，或夫妻双方均业绩突出的，安家费和购房补贴可申请分别计算； 5. 已具有博士后经历且科研业绩突出者，可享受校聘副教授三级岗位津贴待遇三年，三年内可参评副教授；如三年后未能晋级，则回到原待遇； 6. 本表所示“紧缺专业”为：外国语言文学（不含英语专业）、金融学、会计学、建筑学、信息与通信工程、电气工程、信息安全、护理学、人体解剖、病理生理学、社会保障。 7. 本表所示“全球三大排名前200名高校”认定标准为：以上海交通大学世界大学学术排名（ARWU）、QS世界大学排名、英国《泰晤士高等教育》杂志THE世界大学排名为依据，在两个或两个以上排名中均排列前200名即认定。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9D1867"/>
    <w:rsid w:val="659D1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2018-12-17T01:31:00Z</dcterms:created>
  <dc:creator>Administrator</dc:creator>
  <cp:lastModifiedBy>Administrator</cp:lastModifiedBy>
  <dcterms:modified xsi:type="dcterms:W3CDTF">2018-12-17T01:31:35Z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