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80" w:lineRule="exact"/>
        <w:ind w:left="0" w:leftChars="0" w:firstLine="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27"/>
          <w:sz w:val="32"/>
          <w:szCs w:val="32"/>
        </w:rPr>
        <w:t>附件</w:t>
      </w:r>
      <w:r>
        <w:rPr>
          <w:rFonts w:hint="eastAsia" w:ascii="宋体" w:hAnsi="宋体" w:eastAsia="宋体" w:cs="宋体"/>
          <w:sz w:val="32"/>
          <w:szCs w:val="32"/>
        </w:rPr>
        <w:t>1</w:t>
      </w:r>
    </w:p>
    <w:p>
      <w:pPr>
        <w:pStyle w:val="3"/>
        <w:spacing w:before="12"/>
        <w:ind w:left="0"/>
        <w:jc w:val="center"/>
        <w:rPr>
          <w:rFonts w:hint="eastAsia" w:ascii="宋体" w:hAnsi="宋体" w:eastAsia="宋体" w:cs="宋体"/>
        </w:rPr>
      </w:pPr>
      <w:bookmarkStart w:id="0" w:name="_GoBack"/>
      <w:bookmarkEnd w:id="0"/>
      <w:r>
        <w:rPr>
          <w:rFonts w:hint="eastAsia" w:ascii="宋体" w:hAnsi="宋体" w:eastAsia="宋体" w:cs="宋体"/>
        </w:rPr>
        <w:t>天津中德应用技术大学</w:t>
      </w:r>
    </w:p>
    <w:p>
      <w:pPr>
        <w:pStyle w:val="3"/>
        <w:spacing w:before="12"/>
        <w:ind w:left="0"/>
        <w:jc w:val="center"/>
        <w:rPr>
          <w:rFonts w:hint="eastAsia" w:ascii="宋体" w:hAnsi="宋体" w:eastAsia="宋体" w:cs="宋体"/>
        </w:rPr>
      </w:pPr>
    </w:p>
    <w:p>
      <w:pPr>
        <w:spacing w:before="26" w:line="168" w:lineRule="auto"/>
        <w:ind w:right="889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2018 年教师及部分管理岗位公开招聘计划</w:t>
      </w:r>
    </w:p>
    <w:tbl>
      <w:tblPr>
        <w:tblStyle w:val="5"/>
        <w:tblW w:w="99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5"/>
        <w:gridCol w:w="992"/>
        <w:gridCol w:w="4964"/>
        <w:gridCol w:w="18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2175" w:type="dxa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pacing w:before="106" w:line="240" w:lineRule="auto"/>
              <w:ind w:left="224" w:right="21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</w:t>
            </w:r>
          </w:p>
        </w:tc>
        <w:tc>
          <w:tcPr>
            <w:tcW w:w="992" w:type="dxa"/>
            <w:vAlign w:val="center"/>
          </w:tcPr>
          <w:p>
            <w:pPr>
              <w:pStyle w:val="8"/>
              <w:spacing w:before="80" w:line="240" w:lineRule="auto"/>
              <w:ind w:left="177" w:right="168" w:firstLine="105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岗位及名额</w:t>
            </w:r>
          </w:p>
        </w:tc>
        <w:tc>
          <w:tcPr>
            <w:tcW w:w="4964" w:type="dxa"/>
            <w:vAlign w:val="center"/>
          </w:tcPr>
          <w:p>
            <w:pPr>
              <w:pStyle w:val="8"/>
              <w:spacing w:before="106" w:line="240" w:lineRule="auto"/>
              <w:ind w:left="793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专业方向、研究领域或目前从事领域</w:t>
            </w:r>
          </w:p>
        </w:tc>
        <w:tc>
          <w:tcPr>
            <w:tcW w:w="1831" w:type="dxa"/>
            <w:vAlign w:val="center"/>
          </w:tcPr>
          <w:p>
            <w:pPr>
              <w:pStyle w:val="8"/>
              <w:spacing w:before="106" w:line="240" w:lineRule="auto"/>
              <w:ind w:left="49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基本条件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2175" w:type="dxa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pacing w:before="97" w:line="240" w:lineRule="auto"/>
              <w:ind w:left="224" w:right="21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机械工程学院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before="1" w:line="240" w:lineRule="auto"/>
              <w:ind w:left="159" w:right="15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教师岗</w:t>
            </w:r>
          </w:p>
          <w:p>
            <w:pPr>
              <w:pStyle w:val="8"/>
              <w:spacing w:line="240" w:lineRule="auto"/>
              <w:ind w:left="159" w:right="15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  <w:r>
              <w:rPr>
                <w:rFonts w:hint="eastAsia" w:ascii="宋体" w:hAnsi="宋体" w:eastAsia="宋体" w:cs="宋体"/>
                <w:spacing w:val="-5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4964" w:type="dxa"/>
            <w:vMerge w:val="restart"/>
            <w:vAlign w:val="center"/>
          </w:tcPr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before="16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ind w:left="107" w:right="96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1"/>
                <w:sz w:val="21"/>
                <w:szCs w:val="21"/>
              </w:rPr>
              <w:t>数学、机械工程、电气工程、电子科学与技术、信息</w:t>
            </w:r>
            <w:r>
              <w:rPr>
                <w:rFonts w:hint="eastAsia" w:ascii="宋体" w:hAnsi="宋体" w:eastAsia="宋体" w:cs="宋体"/>
                <w:spacing w:val="-13"/>
                <w:sz w:val="21"/>
                <w:szCs w:val="21"/>
              </w:rPr>
              <w:t>与通信工程、控制科学与工程、工程管理等相关学科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专业</w:t>
            </w:r>
          </w:p>
        </w:tc>
        <w:tc>
          <w:tcPr>
            <w:tcW w:w="1831" w:type="dxa"/>
            <w:vMerge w:val="restart"/>
            <w:vAlign w:val="center"/>
          </w:tcPr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before="15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ind w:left="105" w:right="97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具有高级专业技术职务或博士学位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175" w:type="dxa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pacing w:before="97" w:line="240" w:lineRule="auto"/>
              <w:ind w:left="224" w:right="21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智能制造学院</w:t>
            </w:r>
          </w:p>
        </w:tc>
        <w:tc>
          <w:tcPr>
            <w:tcW w:w="992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96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175" w:type="dxa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pacing w:before="77" w:line="240" w:lineRule="auto"/>
              <w:ind w:left="224" w:right="21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软件与通信学院</w:t>
            </w:r>
          </w:p>
        </w:tc>
        <w:tc>
          <w:tcPr>
            <w:tcW w:w="992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96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175" w:type="dxa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pacing w:before="56" w:line="240" w:lineRule="auto"/>
              <w:ind w:left="226" w:right="21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基础课部</w:t>
            </w:r>
          </w:p>
        </w:tc>
        <w:tc>
          <w:tcPr>
            <w:tcW w:w="992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96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2175" w:type="dxa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pacing w:before="116" w:line="240" w:lineRule="auto"/>
              <w:ind w:left="226" w:right="21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基础实验实训中心</w:t>
            </w:r>
          </w:p>
        </w:tc>
        <w:tc>
          <w:tcPr>
            <w:tcW w:w="992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96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31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6" w:hRule="atLeast"/>
        </w:trPr>
        <w:tc>
          <w:tcPr>
            <w:tcW w:w="2175" w:type="dxa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before="16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ind w:left="665" w:right="129" w:hanging="52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校级综合管理部门及教学单位</w:t>
            </w:r>
          </w:p>
        </w:tc>
        <w:tc>
          <w:tcPr>
            <w:tcW w:w="992" w:type="dxa"/>
            <w:vAlign w:val="center"/>
          </w:tcPr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before="16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ind w:left="309" w:right="168" w:hanging="132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管理岗9</w:t>
            </w:r>
            <w:r>
              <w:rPr>
                <w:rFonts w:hint="eastAsia" w:ascii="宋体" w:hAnsi="宋体" w:eastAsia="宋体" w:cs="宋体"/>
                <w:spacing w:val="-5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4964" w:type="dxa"/>
            <w:vAlign w:val="center"/>
          </w:tcPr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before="4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pStyle w:val="8"/>
              <w:spacing w:line="240" w:lineRule="auto"/>
              <w:ind w:left="107" w:right="11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哲学、理论经济学、应用经济学、材料科学与工程、</w:t>
            </w:r>
            <w:r>
              <w:rPr>
                <w:rFonts w:hint="eastAsia" w:ascii="宋体" w:hAnsi="宋体" w:eastAsia="宋体" w:cs="宋体"/>
                <w:spacing w:val="-11"/>
                <w:sz w:val="21"/>
                <w:szCs w:val="21"/>
              </w:rPr>
              <w:t>计算机科学与技术、土木工程、环境科学与工程、建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筑学、植物保护、公共管理等相关学科专业</w:t>
            </w:r>
          </w:p>
        </w:tc>
        <w:tc>
          <w:tcPr>
            <w:tcW w:w="1831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2175" w:type="dxa"/>
            <w:tcBorders>
              <w:left w:val="single" w:color="000000" w:sz="4" w:space="0"/>
            </w:tcBorders>
            <w:vAlign w:val="center"/>
          </w:tcPr>
          <w:p>
            <w:pPr>
              <w:pStyle w:val="8"/>
              <w:spacing w:before="138" w:line="240" w:lineRule="auto"/>
              <w:ind w:left="224" w:right="219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合计</w:t>
            </w:r>
          </w:p>
        </w:tc>
        <w:tc>
          <w:tcPr>
            <w:tcW w:w="992" w:type="dxa"/>
            <w:vAlign w:val="center"/>
          </w:tcPr>
          <w:p>
            <w:pPr>
              <w:pStyle w:val="8"/>
              <w:spacing w:before="138" w:line="240" w:lineRule="auto"/>
              <w:ind w:left="256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15</w:t>
            </w:r>
            <w:r>
              <w:rPr>
                <w:rFonts w:hint="eastAsia" w:ascii="宋体" w:hAnsi="宋体" w:eastAsia="宋体" w:cs="宋体"/>
                <w:spacing w:val="-5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4964" w:type="dxa"/>
            <w:vAlign w:val="center"/>
          </w:tcPr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831" w:type="dxa"/>
            <w:vAlign w:val="center"/>
          </w:tcPr>
          <w:p>
            <w:pPr>
              <w:pStyle w:val="8"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spacing w:before="26" w:line="168" w:lineRule="auto"/>
        <w:ind w:right="889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pict>
          <v:shape id="_x0000_s1027" o:spid="_x0000_s1027" o:spt="202" type="#_x0000_t202" style="position:absolute;left:0pt;margin-left:231.1pt;margin-top:198.9pt;height:64.9pt;width:48pt;mso-position-horizontal-relative:page;rotation:11468800f;z-index:2048;mso-width-relative:page;mso-height-relative:page;" filled="f" stroked="t" coordsize="21600,21600">
            <v:path/>
            <v:fill on="f" focussize="0,0"/>
            <v:stroke color="#000000"/>
            <v:imagedata o:title=""/>
            <o:lock v:ext="edit" aspectratio="f"/>
            <v:textbox inset="0mm,0mm,0mm,0mm">
              <w:txbxContent>
                <w:p>
                  <w:pPr>
                    <w:pStyle w:val="3"/>
                    <w:ind w:left="0"/>
                  </w:pPr>
                </w:p>
              </w:txbxContent>
            </v:textbox>
          </v:shape>
        </w:pict>
      </w:r>
    </w:p>
    <w:sectPr>
      <w:footerReference r:id="rId3" w:type="default"/>
      <w:footerReference r:id="rId4" w:type="even"/>
      <w:pgSz w:w="11910" w:h="16840"/>
      <w:pgMar w:top="1580" w:right="840" w:bottom="1300" w:left="860" w:header="0" w:footer="1114" w:gutter="0"/>
      <w:pgBorders>
        <w:top w:val="none" w:sz="0" w:space="0"/>
        <w:left w:val="none" w:sz="0" w:space="0"/>
        <w:bottom w:val="none" w:sz="0" w:space="0"/>
        <w:right w:val="none" w:sz="0" w:space="0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Noto Sans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Noto Sans Mono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Droid Sans Fallback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0"/>
      </w:rPr>
    </w:pPr>
    <w:r>
      <w:pict>
        <v:shape id="_x0000_s2049" o:spid="_x0000_s2049" o:spt="202" type="#_x0000_t202" style="position:absolute;left:0pt;margin-left:481.5pt;margin-top:775.2pt;height:16.05pt;width:37.15pt;mso-position-horizontal-relative:page;mso-position-vertical-relative:page;z-index:-337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rFonts w:ascii="Noto Sans Mono CJK JP Regular"/>
                    <w:sz w:val="28"/>
                  </w:rPr>
                </w:pPr>
                <w:r>
                  <w:rPr>
                    <w:rFonts w:ascii="Noto Sans Mono CJK JP Regular"/>
                    <w:sz w:val="28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Noto Sans Mono CJK JP Regular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Noto Sans Mono CJK JP Regular"/>
                    <w:sz w:val="28"/>
                  </w:rPr>
                  <w:t xml:space="preserve"> -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0"/>
      </w:rPr>
    </w:pPr>
    <w:r>
      <w:pict>
        <v:shape id="_x0000_s2050" o:spid="_x0000_s2050" o:spt="202" type="#_x0000_t202" style="position:absolute;left:0pt;margin-left:77pt;margin-top:775.2pt;height:16.05pt;width:37.1pt;mso-position-horizontal-relative:page;mso-position-vertical-relative:page;z-index:-337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21" w:lineRule="exact"/>
                  <w:ind w:left="20" w:right="0" w:firstLine="0"/>
                  <w:jc w:val="left"/>
                  <w:rPr>
                    <w:rFonts w:ascii="Noto Sans Mono CJK JP Regular"/>
                    <w:sz w:val="28"/>
                  </w:rPr>
                </w:pPr>
                <w:r>
                  <w:rPr>
                    <w:rFonts w:ascii="Noto Sans Mono CJK JP Regular"/>
                    <w:sz w:val="28"/>
                  </w:rPr>
                  <w:t xml:space="preserve">- </w:t>
                </w:r>
                <w:r>
                  <w:fldChar w:fldCharType="begin"/>
                </w:r>
                <w:r>
                  <w:rPr>
                    <w:rFonts w:ascii="Noto Sans Mono CJK JP Regular"/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rFonts w:ascii="Noto Sans Mono CJK JP Regular"/>
                    <w:sz w:val="28"/>
                  </w:rPr>
                  <w:t xml:space="preserve"> -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2"/>
  </w:compat>
  <w:rsids>
    <w:rsidRoot w:val="00000000"/>
    <w:rsid w:val="071132E6"/>
    <w:rsid w:val="18817CC3"/>
    <w:rsid w:val="6F6072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Noto Sans CJK JP Regular" w:hAnsi="Noto Sans CJK JP Regular" w:eastAsia="Noto Sans CJK JP Regular" w:cs="Noto Sans CJK JP Regular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line="806" w:lineRule="exact"/>
      <w:ind w:left="1958"/>
      <w:outlineLvl w:val="1"/>
    </w:pPr>
    <w:rPr>
      <w:rFonts w:ascii="Noto Sans Mono CJK JP Regular" w:hAnsi="Noto Sans Mono CJK JP Regular" w:eastAsia="Noto Sans Mono CJK JP Regular" w:cs="Noto Sans Mono CJK JP Regular"/>
      <w:sz w:val="44"/>
      <w:szCs w:val="44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700"/>
    </w:pPr>
    <w:rPr>
      <w:rFonts w:ascii="Noto Sans CJK JP Regular" w:hAnsi="Noto Sans CJK JP Regular" w:eastAsia="Noto Sans CJK JP Regular" w:cs="Noto Sans CJK JP Regular"/>
      <w:sz w:val="32"/>
      <w:szCs w:val="32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Noto Sans CJK JP Regular" w:hAnsi="Noto Sans CJK JP Regular" w:eastAsia="Noto Sans CJK JP Regular" w:cs="Noto Sans CJK JP Regular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0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2018-12-11T01:23:00Z</dcterms:created>
  <dc:creator>dell</dc:creator>
  <cp:lastModifiedBy>阳光售后客服  </cp:lastModifiedBy>
  <dcterms:modified xsi:type="dcterms:W3CDTF">2018-12-11T01:51:49Z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2018-12-11T00:00:00Z</vt:filetime>
  </property>
  <property fmtid="{D5CDD505-2E9C-101B-9397-08002B2CF9AE}" pid="5" name="KSOProductBuildVer">
    <vt:lpwstr>2052-11.1.0.8002</vt:lpwstr>
  </property>
</Properties>
</file>