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eastAsia="宋体" w:cs="宋体"/>
          <w:b/>
          <w:bCs/>
          <w:color w:val="000000"/>
          <w:kern w:val="0"/>
          <w:sz w:val="32"/>
          <w:szCs w:val="32"/>
        </w:rPr>
      </w:pPr>
      <w:r>
        <w:rPr>
          <w:rFonts w:hint="eastAsia" w:ascii="宋体" w:hAnsi="宋体" w:eastAsia="宋体" w:cs="宋体"/>
          <w:b/>
          <w:bCs/>
          <w:color w:val="000000"/>
          <w:kern w:val="0"/>
          <w:sz w:val="32"/>
          <w:szCs w:val="32"/>
        </w:rPr>
        <w:t>附件1:安徽师范大学2019年各单位教学科研岗位进人计划汇总表</w:t>
      </w:r>
    </w:p>
    <w:tbl>
      <w:tblPr>
        <w:tblStyle w:val="3"/>
        <w:tblW w:w="146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
      <w:tblGrid>
        <w:gridCol w:w="1643"/>
        <w:gridCol w:w="1853"/>
        <w:gridCol w:w="1490"/>
        <w:gridCol w:w="1618"/>
        <w:gridCol w:w="3682"/>
        <w:gridCol w:w="567"/>
        <w:gridCol w:w="709"/>
        <w:gridCol w:w="465"/>
        <w:gridCol w:w="2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431" w:hRule="atLeast"/>
          <w:tblHeader/>
          <w:jc w:val="center"/>
        </w:trPr>
        <w:tc>
          <w:tcPr>
            <w:tcW w:w="1643" w:type="dxa"/>
            <w:vMerge w:val="restart"/>
            <w:tcMar>
              <w:left w:w="28" w:type="dxa"/>
              <w:right w:w="28" w:type="dxa"/>
            </w:tcMar>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单位</w:t>
            </w:r>
          </w:p>
        </w:tc>
        <w:tc>
          <w:tcPr>
            <w:tcW w:w="1853" w:type="dxa"/>
            <w:vMerge w:val="restart"/>
            <w:tcMar>
              <w:left w:w="28" w:type="dxa"/>
              <w:right w:w="28" w:type="dxa"/>
            </w:tcMar>
            <w:vAlign w:val="center"/>
          </w:tcPr>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招聘人员所属二级学科名称</w:t>
            </w:r>
          </w:p>
        </w:tc>
        <w:tc>
          <w:tcPr>
            <w:tcW w:w="1490" w:type="dxa"/>
            <w:vMerge w:val="restart"/>
            <w:tcMar>
              <w:left w:w="28" w:type="dxa"/>
              <w:right w:w="28" w:type="dxa"/>
            </w:tcMar>
            <w:vAlign w:val="center"/>
          </w:tcPr>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归口我校本科专业名称</w:t>
            </w:r>
          </w:p>
        </w:tc>
        <w:tc>
          <w:tcPr>
            <w:tcW w:w="1618" w:type="dxa"/>
            <w:tcMar>
              <w:left w:w="28" w:type="dxa"/>
              <w:right w:w="28" w:type="dxa"/>
            </w:tcMar>
            <w:vAlign w:val="center"/>
          </w:tcPr>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工作安排</w:t>
            </w:r>
          </w:p>
        </w:tc>
        <w:tc>
          <w:tcPr>
            <w:tcW w:w="3682" w:type="dxa"/>
            <w:vMerge w:val="restart"/>
            <w:tcMar>
              <w:left w:w="28" w:type="dxa"/>
              <w:right w:w="28" w:type="dxa"/>
            </w:tcMar>
            <w:vAlign w:val="center"/>
          </w:tcPr>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学院有关要求</w:t>
            </w:r>
          </w:p>
        </w:tc>
        <w:tc>
          <w:tcPr>
            <w:tcW w:w="1741" w:type="dxa"/>
            <w:gridSpan w:val="3"/>
            <w:tcMar>
              <w:left w:w="28" w:type="dxa"/>
              <w:right w:w="28" w:type="dxa"/>
            </w:tcMar>
            <w:vAlign w:val="center"/>
          </w:tcPr>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下达计划数</w:t>
            </w:r>
          </w:p>
        </w:tc>
        <w:tc>
          <w:tcPr>
            <w:tcW w:w="2657" w:type="dxa"/>
            <w:vMerge w:val="restart"/>
            <w:tcMar>
              <w:left w:w="28" w:type="dxa"/>
              <w:right w:w="28" w:type="dxa"/>
            </w:tcMar>
            <w:vAlign w:val="center"/>
          </w:tcPr>
          <w:p>
            <w:pPr>
              <w:widowControl/>
              <w:tabs>
                <w:tab w:val="left" w:pos="226"/>
              </w:tabs>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271" w:hRule="atLeast"/>
          <w:tblHeader/>
          <w:jc w:val="center"/>
        </w:trPr>
        <w:tc>
          <w:tcPr>
            <w:tcW w:w="1643" w:type="dxa"/>
            <w:vMerge w:val="continue"/>
            <w:tcMar>
              <w:left w:w="28" w:type="dxa"/>
              <w:right w:w="28" w:type="dxa"/>
            </w:tcMar>
            <w:vAlign w:val="center"/>
          </w:tcPr>
          <w:p>
            <w:pPr>
              <w:widowControl/>
              <w:jc w:val="left"/>
              <w:rPr>
                <w:rFonts w:ascii="宋体" w:hAnsi="宋体" w:eastAsia="宋体" w:cs="宋体"/>
                <w:b/>
                <w:bCs/>
                <w:color w:val="000000"/>
                <w:kern w:val="0"/>
                <w:sz w:val="24"/>
                <w:szCs w:val="24"/>
              </w:rPr>
            </w:pPr>
          </w:p>
        </w:tc>
        <w:tc>
          <w:tcPr>
            <w:tcW w:w="1853" w:type="dxa"/>
            <w:vMerge w:val="continue"/>
            <w:tcMar>
              <w:left w:w="28" w:type="dxa"/>
              <w:right w:w="28" w:type="dxa"/>
            </w:tcMar>
            <w:vAlign w:val="center"/>
          </w:tcPr>
          <w:p>
            <w:pPr>
              <w:widowControl/>
              <w:jc w:val="left"/>
              <w:rPr>
                <w:rFonts w:ascii="仿宋_GB2312" w:hAnsi="宋体" w:eastAsia="仿宋_GB2312" w:cs="宋体"/>
                <w:b/>
                <w:bCs/>
                <w:color w:val="000000"/>
                <w:kern w:val="0"/>
                <w:sz w:val="24"/>
                <w:szCs w:val="24"/>
              </w:rPr>
            </w:pPr>
          </w:p>
        </w:tc>
        <w:tc>
          <w:tcPr>
            <w:tcW w:w="1490" w:type="dxa"/>
            <w:vMerge w:val="continue"/>
            <w:tcMar>
              <w:left w:w="28" w:type="dxa"/>
              <w:right w:w="28" w:type="dxa"/>
            </w:tcMar>
            <w:vAlign w:val="center"/>
          </w:tcPr>
          <w:p>
            <w:pPr>
              <w:widowControl/>
              <w:jc w:val="left"/>
              <w:rPr>
                <w:rFonts w:ascii="仿宋_GB2312" w:hAnsi="宋体" w:eastAsia="仿宋_GB2312" w:cs="宋体"/>
                <w:b/>
                <w:bCs/>
                <w:color w:val="000000"/>
                <w:kern w:val="0"/>
                <w:sz w:val="24"/>
                <w:szCs w:val="24"/>
              </w:rPr>
            </w:pPr>
          </w:p>
        </w:tc>
        <w:tc>
          <w:tcPr>
            <w:tcW w:w="1618" w:type="dxa"/>
            <w:tcMar>
              <w:left w:w="28" w:type="dxa"/>
              <w:right w:w="28" w:type="dxa"/>
            </w:tcMar>
            <w:vAlign w:val="center"/>
          </w:tcPr>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（拟授课程）</w:t>
            </w:r>
          </w:p>
        </w:tc>
        <w:tc>
          <w:tcPr>
            <w:tcW w:w="3682" w:type="dxa"/>
            <w:vMerge w:val="continue"/>
            <w:tcMar>
              <w:left w:w="28" w:type="dxa"/>
              <w:right w:w="28" w:type="dxa"/>
            </w:tcMar>
            <w:vAlign w:val="center"/>
          </w:tcPr>
          <w:p>
            <w:pPr>
              <w:widowControl/>
              <w:jc w:val="left"/>
              <w:rPr>
                <w:rFonts w:ascii="仿宋_GB2312" w:hAnsi="宋体" w:eastAsia="仿宋_GB2312" w:cs="宋体"/>
                <w:b/>
                <w:bCs/>
                <w:color w:val="000000"/>
                <w:kern w:val="0"/>
                <w:sz w:val="24"/>
                <w:szCs w:val="24"/>
              </w:rPr>
            </w:pPr>
          </w:p>
        </w:tc>
        <w:tc>
          <w:tcPr>
            <w:tcW w:w="567" w:type="dxa"/>
            <w:tcMar>
              <w:left w:w="28" w:type="dxa"/>
              <w:right w:w="28" w:type="dxa"/>
            </w:tcMar>
            <w:vAlign w:val="center"/>
          </w:tcPr>
          <w:p>
            <w:pPr>
              <w:widowControl/>
              <w:jc w:val="center"/>
              <w:rPr>
                <w:rFonts w:ascii="仿宋_GB2312" w:hAnsi="宋体" w:eastAsia="仿宋_GB2312" w:cs="宋体"/>
                <w:b/>
                <w:bCs/>
                <w:color w:val="000000"/>
                <w:kern w:val="0"/>
                <w:sz w:val="22"/>
              </w:rPr>
            </w:pPr>
            <w:r>
              <w:rPr>
                <w:rFonts w:hint="eastAsia" w:ascii="仿宋_GB2312" w:hAnsi="宋体" w:eastAsia="仿宋_GB2312" w:cs="宋体"/>
                <w:b/>
                <w:bCs/>
                <w:color w:val="000000"/>
                <w:kern w:val="0"/>
                <w:sz w:val="22"/>
              </w:rPr>
              <w:t>硕士以上</w:t>
            </w:r>
          </w:p>
        </w:tc>
        <w:tc>
          <w:tcPr>
            <w:tcW w:w="709" w:type="dxa"/>
            <w:tcMar>
              <w:left w:w="28" w:type="dxa"/>
              <w:right w:w="28" w:type="dxa"/>
            </w:tcMar>
            <w:vAlign w:val="center"/>
          </w:tcPr>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博士</w:t>
            </w:r>
          </w:p>
        </w:tc>
        <w:tc>
          <w:tcPr>
            <w:tcW w:w="465" w:type="dxa"/>
            <w:tcMar>
              <w:left w:w="28" w:type="dxa"/>
              <w:right w:w="28" w:type="dxa"/>
            </w:tcMar>
            <w:vAlign w:val="center"/>
          </w:tcPr>
          <w:p>
            <w:pPr>
              <w:widowControl/>
              <w:jc w:val="left"/>
              <w:rPr>
                <w:rFonts w:hint="eastAsia" w:ascii="仿宋_GB2312" w:hAnsi="宋体" w:eastAsia="仿宋_GB2312" w:cs="宋体"/>
                <w:b/>
                <w:bCs/>
                <w:color w:val="000000"/>
                <w:kern w:val="0"/>
                <w:sz w:val="22"/>
              </w:rPr>
            </w:pPr>
            <w:r>
              <w:rPr>
                <w:rFonts w:hint="eastAsia" w:ascii="仿宋_GB2312" w:hAnsi="宋体" w:eastAsia="仿宋_GB2312" w:cs="宋体"/>
                <w:b/>
                <w:bCs/>
                <w:color w:val="000000"/>
                <w:kern w:val="0"/>
                <w:sz w:val="22"/>
              </w:rPr>
              <w:t>小计</w:t>
            </w:r>
          </w:p>
        </w:tc>
        <w:tc>
          <w:tcPr>
            <w:tcW w:w="2657" w:type="dxa"/>
            <w:vMerge w:val="continue"/>
            <w:tcMar>
              <w:left w:w="28" w:type="dxa"/>
              <w:right w:w="28" w:type="dxa"/>
            </w:tcMar>
            <w:vAlign w:val="center"/>
          </w:tcPr>
          <w:p>
            <w:pPr>
              <w:widowControl/>
              <w:jc w:val="left"/>
              <w:rPr>
                <w:rFonts w:ascii="宋体" w:hAnsi="宋体" w:eastAsia="宋体" w:cs="宋体"/>
                <w:b/>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780" w:hRule="atLeast"/>
          <w:jc w:val="center"/>
        </w:trPr>
        <w:tc>
          <w:tcPr>
            <w:tcW w:w="1643"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文学院</w:t>
            </w: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中国古代文学、中国现当代文学等</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汉语言文学</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中国古代文学课程、中国现代文学课程</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中国古代文学、现当代文学</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6</w:t>
            </w:r>
          </w:p>
        </w:tc>
        <w:tc>
          <w:tcPr>
            <w:tcW w:w="2657" w:type="dxa"/>
            <w:vMerge w:val="restart"/>
            <w:tcMar>
              <w:left w:w="28" w:type="dxa"/>
              <w:right w:w="28" w:type="dxa"/>
            </w:tcMar>
            <w:vAlign w:val="center"/>
          </w:tcPr>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储老师：0553--5910501</w:t>
            </w:r>
          </w:p>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邮箱：chutaisong@163.com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215"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语言学及应用语言学、汉语言文字学、文艺学等</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汉语言文学</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现代汉语类课程、写作类课程、文艺理论类等</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汉语言文字学（汉语语法方向）、写作学，西方文论专业优先</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921"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语言学及应用语言学、汉语言文字学等</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汉语国际教育</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语言学概论、逻辑学</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语言学及应用语言学、逻辑学</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621" w:hRule="atLeast"/>
          <w:jc w:val="center"/>
        </w:trPr>
        <w:tc>
          <w:tcPr>
            <w:tcW w:w="1643" w:type="dxa"/>
            <w:vMerge w:val="restart"/>
            <w:tcMar>
              <w:left w:w="28" w:type="dxa"/>
              <w:right w:w="28" w:type="dxa"/>
            </w:tcMar>
            <w:vAlign w:val="center"/>
          </w:tcPr>
          <w:p>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 xml:space="preserve"> 马克思主义</w:t>
            </w:r>
          </w:p>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学院</w:t>
            </w: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马克思主义中国化研究、马克思主义基本原理、国外马克思主义等</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思想政治教育</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毛泽东思想和中国特色社会主义理论体系概论、马克思主义中国化研究等</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党员；35周岁以下；至少发表两篇C刊。</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6</w:t>
            </w:r>
          </w:p>
        </w:tc>
        <w:tc>
          <w:tcPr>
            <w:tcW w:w="2657" w:type="dxa"/>
            <w:vMerge w:val="restart"/>
            <w:tcMar>
              <w:left w:w="28" w:type="dxa"/>
              <w:right w:w="28" w:type="dxa"/>
            </w:tcMar>
            <w:vAlign w:val="center"/>
          </w:tcPr>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高老师：0553--5910536</w:t>
            </w:r>
          </w:p>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邮箱：asdgzl@163.com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299"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spacing w:val="-4"/>
                <w:kern w:val="0"/>
                <w:sz w:val="20"/>
                <w:szCs w:val="20"/>
              </w:rPr>
            </w:pPr>
            <w:r>
              <w:rPr>
                <w:rFonts w:hint="eastAsia" w:ascii="仿宋_GB2312" w:hAnsi="宋体" w:eastAsia="仿宋_GB2312" w:cs="宋体"/>
                <w:color w:val="000000"/>
                <w:spacing w:val="-4"/>
                <w:kern w:val="0"/>
                <w:sz w:val="20"/>
                <w:szCs w:val="20"/>
              </w:rPr>
              <w:t>中共党史、中国近现代史基本问题研究、思想政治教育等</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思想政治教育</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中国近现代史纲、中共党史、思想政治教育等课程</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党员；35周岁以下；至少发表两篇C刊。</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949"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马克思主义哲学、国外哲学、中国哲学等</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思想政治教育</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哲学类相关课程</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党员；35周岁以下；至少发表两篇C刊。</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597" w:hRule="atLeast"/>
          <w:jc w:val="center"/>
        </w:trPr>
        <w:tc>
          <w:tcPr>
            <w:tcW w:w="1643"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法学院</w:t>
            </w: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法理学、民商法学、宪法与行政法学、诉讼法学、经济法学、刑法学、法律史学等</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法学</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法学相关二级学科课程</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4</w:t>
            </w:r>
          </w:p>
        </w:tc>
        <w:tc>
          <w:tcPr>
            <w:tcW w:w="2657" w:type="dxa"/>
            <w:vMerge w:val="restart"/>
            <w:tcMar>
              <w:left w:w="28" w:type="dxa"/>
              <w:right w:w="28" w:type="dxa"/>
            </w:tcMar>
            <w:vAlign w:val="center"/>
          </w:tcPr>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严老师：0553--5910628</w:t>
            </w:r>
          </w:p>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邮箱：rucyh@126.com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1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政治学、公共管理等以及或相关学科的相近研究方向</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行政管理</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政治学、公共管理等相关课程</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681" w:hRule="atLeast"/>
          <w:jc w:val="center"/>
        </w:trPr>
        <w:tc>
          <w:tcPr>
            <w:tcW w:w="1643"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经济管理学院</w:t>
            </w:r>
          </w:p>
        </w:tc>
        <w:tc>
          <w:tcPr>
            <w:tcW w:w="1853" w:type="dxa"/>
            <w:tcMar>
              <w:left w:w="28" w:type="dxa"/>
              <w:right w:w="28" w:type="dxa"/>
            </w:tcMar>
            <w:vAlign w:val="center"/>
          </w:tcPr>
          <w:p>
            <w:pPr>
              <w:widowControl/>
              <w:jc w:val="center"/>
              <w:rPr>
                <w:rFonts w:ascii="仿宋_GB2312" w:hAnsi="宋体" w:eastAsia="仿宋_GB2312" w:cs="宋体"/>
                <w:color w:val="000000"/>
                <w:spacing w:val="-6"/>
                <w:kern w:val="0"/>
                <w:sz w:val="20"/>
                <w:szCs w:val="20"/>
              </w:rPr>
            </w:pPr>
            <w:r>
              <w:rPr>
                <w:rFonts w:hint="eastAsia" w:ascii="仿宋_GB2312" w:hAnsi="宋体" w:eastAsia="仿宋_GB2312" w:cs="宋体"/>
                <w:color w:val="000000"/>
                <w:spacing w:val="-6"/>
                <w:kern w:val="0"/>
                <w:sz w:val="20"/>
                <w:szCs w:val="20"/>
              </w:rPr>
              <w:t>西方经济学、政治经济学、经济史、经济思想史、人口资源与环境经济学、农业经济管理等</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经济学</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宏、微观经济学,政治经济学、,经济思想史等</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8</w:t>
            </w:r>
          </w:p>
        </w:tc>
        <w:tc>
          <w:tcPr>
            <w:tcW w:w="2657" w:type="dxa"/>
            <w:vMerge w:val="restart"/>
            <w:tcMar>
              <w:left w:w="28" w:type="dxa"/>
              <w:right w:w="28" w:type="dxa"/>
            </w:tcMar>
            <w:vAlign w:val="center"/>
          </w:tcPr>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张老师：0553--5910753</w:t>
            </w:r>
          </w:p>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邮箱：85332105@qq.com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02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spacing w:val="-6"/>
                <w:kern w:val="0"/>
                <w:sz w:val="20"/>
                <w:szCs w:val="20"/>
              </w:rPr>
            </w:pPr>
            <w:r>
              <w:rPr>
                <w:rFonts w:hint="eastAsia" w:ascii="仿宋_GB2312" w:hAnsi="宋体" w:eastAsia="仿宋_GB2312" w:cs="宋体"/>
                <w:color w:val="000000"/>
                <w:spacing w:val="-6"/>
                <w:kern w:val="0"/>
                <w:sz w:val="20"/>
                <w:szCs w:val="20"/>
              </w:rPr>
              <w:t>金融学、数量经济学、财政学，区域经济学，产业经济学等</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投资学</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公司金融、行为金融、资产评估</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789"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会计学、企业管理</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会计学或财务管理</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会计学原理、中级财务会计、审计、成本会计等</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366"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企业管理、管理科学与工程</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人力资源管理、物流管理</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决策理论与方法、绩效管理、管理心理学、数据分析、创新创业。</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b/>
                <w:bCs/>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音乐学院</w:t>
            </w: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音乐与舞蹈学</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舞蹈</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舞蹈表演、编导</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男性不少于1名；有专业舞蹈院系表演或舞蹈编导全日制学习经历，具有较高的舞蹈表演水平或舞蹈编导水平。</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709" w:type="dxa"/>
            <w:tcMar>
              <w:left w:w="28" w:type="dxa"/>
              <w:right w:w="28" w:type="dxa"/>
            </w:tcMar>
            <w:vAlign w:val="center"/>
          </w:tcPr>
          <w:p>
            <w:pPr>
              <w:widowControl/>
              <w:jc w:val="center"/>
              <w:rPr>
                <w:rFonts w:ascii="仿宋_GB2312" w:hAnsi="宋体" w:eastAsia="仿宋_GB2312" w:cs="宋体"/>
                <w:b/>
                <w:bCs/>
                <w:color w:val="000000"/>
                <w:kern w:val="0"/>
                <w:sz w:val="20"/>
                <w:szCs w:val="20"/>
              </w:rPr>
            </w:pPr>
          </w:p>
        </w:tc>
        <w:tc>
          <w:tcPr>
            <w:tcW w:w="465"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6</w:t>
            </w:r>
          </w:p>
        </w:tc>
        <w:tc>
          <w:tcPr>
            <w:tcW w:w="2657" w:type="dxa"/>
            <w:vMerge w:val="restart"/>
            <w:tcMar>
              <w:left w:w="28" w:type="dxa"/>
              <w:right w:w="28" w:type="dxa"/>
            </w:tcMar>
            <w:vAlign w:val="center"/>
          </w:tcPr>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王老师：0553--3869316</w:t>
            </w:r>
          </w:p>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邮箱：Wjx977@qq.com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音乐与舞蹈学</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音乐表演</w:t>
            </w:r>
          </w:p>
        </w:tc>
        <w:tc>
          <w:tcPr>
            <w:tcW w:w="1618" w:type="dxa"/>
            <w:tcMar>
              <w:left w:w="28" w:type="dxa"/>
              <w:right w:w="28" w:type="dxa"/>
            </w:tcMar>
            <w:vAlign w:val="center"/>
          </w:tcPr>
          <w:p>
            <w:pPr>
              <w:widowControl/>
              <w:spacing w:line="24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双簧管</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有高校从教经历者优先且年龄放宽</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center"/>
              <w:rPr>
                <w:rFonts w:ascii="仿宋_GB2312" w:hAnsi="宋体" w:eastAsia="仿宋_GB2312" w:cs="宋体"/>
                <w:b/>
                <w:bCs/>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音乐与舞蹈学</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音乐表演</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萨克斯</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有高校从教经历者优先且年龄放宽</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center"/>
              <w:rPr>
                <w:rFonts w:ascii="仿宋_GB2312" w:hAnsi="宋体" w:eastAsia="仿宋_GB2312" w:cs="宋体"/>
                <w:b/>
                <w:bCs/>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音乐与舞蹈学</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音乐表演</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大提琴</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有高校从教经历者优先且年龄放宽</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center"/>
              <w:rPr>
                <w:rFonts w:ascii="仿宋_GB2312" w:hAnsi="宋体" w:eastAsia="仿宋_GB2312" w:cs="宋体"/>
                <w:b/>
                <w:bCs/>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音乐与舞蹈学</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音乐表演</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中提琴、竖琴</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center"/>
              <w:rPr>
                <w:rFonts w:ascii="仿宋_GB2312" w:hAnsi="宋体" w:eastAsia="仿宋_GB2312" w:cs="宋体"/>
                <w:b/>
                <w:bCs/>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美术学院</w:t>
            </w: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美术学</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美术学</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美术学类课程</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美术教育方向</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7</w:t>
            </w:r>
          </w:p>
        </w:tc>
        <w:tc>
          <w:tcPr>
            <w:tcW w:w="2657" w:type="dxa"/>
            <w:vMerge w:val="restart"/>
            <w:tcMar>
              <w:left w:w="28" w:type="dxa"/>
              <w:right w:w="28" w:type="dxa"/>
            </w:tcMar>
            <w:vAlign w:val="center"/>
          </w:tcPr>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高老师：0553--5910570</w:t>
            </w:r>
          </w:p>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邮箱：gaofei@mail.ahnu.edu.cn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美术学</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绘画</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绘画基础等课程</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适合中国画（写意人物、工笔人物）、油画等方向专业课教学；专业与科研成果显著，博士优先；专业院校硕士。</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美术学</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绘画</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版画专业基础课</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男性，有高校从教经历者优先且年龄放宽。</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美术学</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美术学</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专业基础课</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男性，有高校从教经历者优先且年龄放宽。</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美术学</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雕塑</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专业基础课</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男性，有高校从教经历者优先且年龄放宽。</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艺术学</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环境设计</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专业基础课</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男性，有高校从教经历者优先且年龄放宽。</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891"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设计学</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设计学类专业</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设计学类专业等课程课程</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适合工业设计、产品设计等方向专业课教学；专业与科研成果显著，博士优先；专业院校硕士。</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center"/>
              <w:rPr>
                <w:rFonts w:ascii="仿宋_GB2312" w:hAnsi="宋体" w:eastAsia="仿宋_GB2312" w:cs="宋体"/>
                <w:b/>
                <w:bCs/>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历史与社会学院</w:t>
            </w: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中国史</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历史学</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明清史、近现代史</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本科专业为历史学专业</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5</w:t>
            </w:r>
          </w:p>
        </w:tc>
        <w:tc>
          <w:tcPr>
            <w:tcW w:w="2657" w:type="dxa"/>
            <w:vMerge w:val="restart"/>
            <w:tcMar>
              <w:left w:w="28" w:type="dxa"/>
              <w:right w:w="28" w:type="dxa"/>
            </w:tcMar>
            <w:vAlign w:val="center"/>
          </w:tcPr>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徐老师：0553--5910598</w:t>
            </w:r>
          </w:p>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邮箱：xubindyx@sina.com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世界史</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世界史</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世界古代史</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本科英语专业优先、有海外学习经历优先。</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vMerge w:val="restart"/>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国际政治、国际关系、外交学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世界史</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国际关系理论</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南亚研究、巴基斯坦研究方向优先，有英语专业背景者优先，有海外学习经历优先。</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vMerge w:val="continue"/>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社会学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社会工作</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社会工作概论、个案工作</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社工专业博士优先、有海外学习经历优先。</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vMerge w:val="restart"/>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90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社会学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社会学</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组织社会学、社会学数量方法与应用等</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社会学研究方法；有农村社会学研究成果者优先、有海外学习经历优先。</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vMerge w:val="continue"/>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72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社会保障、行政管理</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公共事业管理</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社会保障基金管理、公共经济学公共伦理学</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有海外学习经历优先</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vMerge w:val="continue"/>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953" w:hRule="atLeast"/>
          <w:jc w:val="center"/>
        </w:trPr>
        <w:tc>
          <w:tcPr>
            <w:tcW w:w="1643"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教育科学学院</w:t>
            </w: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教育经济与管理、教育学原理、教育史等</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教育学</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教育经济学、教育概论、教育史等课程教学</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1.博士学位，年龄35周岁以下，作为第一作者发表过2篇以上CSSCI文章；2.有一年或一年以上境外留学经历者同等条件下优先考虑。</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5</w:t>
            </w:r>
          </w:p>
        </w:tc>
        <w:tc>
          <w:tcPr>
            <w:tcW w:w="2657" w:type="dxa"/>
            <w:vMerge w:val="restart"/>
            <w:tcMar>
              <w:left w:w="28" w:type="dxa"/>
              <w:right w:w="28" w:type="dxa"/>
            </w:tcMar>
            <w:vAlign w:val="center"/>
          </w:tcPr>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桑老师：0553--3869266</w:t>
            </w:r>
          </w:p>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邮箱：s7210qs1@mail.ahnu.edu.cn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2581"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教育技术学</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教育技术学</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创客与机器人教育、人工智能教育等课程教学</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应届博士学位，年龄35周岁以下，作为第一作者发表过3篇以上CSSCI文章。2.具有博士学位、副高职称年龄在35岁以下，要求至少主持过省部级项目1项，作为第一作者发表过5篇以上CSSCI文章。3.具有博士学位、正高职称年龄在45岁以下，要求至少主持过1项国家社会科学基金一般项目，作为第一作者发表过10篇以上CSSCI文章。4.以上3种类型人才中有一年以上境外留学经历者同等条件下优先考虑。</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780" w:hRule="atLeast"/>
          <w:jc w:val="center"/>
        </w:trPr>
        <w:tc>
          <w:tcPr>
            <w:tcW w:w="1643"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教育科学学院</w:t>
            </w: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基础心理学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心理学</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生理心理学或   认知神经科学</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1.第一作者或通讯作者的CSSCI、CSCD论文2篇及以上或SSCI、SCI论文1篇及以上； 2.原则上要求35周岁以下； 3.满足我校六类人才及以上标准或有境外留学经历者同等条件者优先考虑。</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02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发展与教育心理学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应用心理学</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心理统计学或  心理学研究方法</w:t>
            </w:r>
          </w:p>
        </w:tc>
        <w:tc>
          <w:tcPr>
            <w:tcW w:w="3682" w:type="dxa"/>
            <w:tcMar>
              <w:left w:w="28" w:type="dxa"/>
              <w:right w:w="28" w:type="dxa"/>
            </w:tcMar>
            <w:vAlign w:val="center"/>
          </w:tcPr>
          <w:p>
            <w:pPr>
              <w:widowControl/>
              <w:spacing w:line="260" w:lineRule="exact"/>
              <w:jc w:val="center"/>
              <w:rPr>
                <w:rFonts w:ascii="仿宋" w:hAnsi="仿宋" w:eastAsia="仿宋" w:cs="宋体"/>
                <w:color w:val="000000"/>
                <w:kern w:val="0"/>
                <w:sz w:val="20"/>
                <w:szCs w:val="20"/>
              </w:rPr>
            </w:pPr>
            <w:r>
              <w:rPr>
                <w:rFonts w:hint="eastAsia" w:ascii="仿宋_GB2312" w:hAnsi="宋体" w:eastAsia="仿宋_GB2312" w:cs="宋体"/>
                <w:color w:val="000000"/>
                <w:kern w:val="0"/>
                <w:sz w:val="20"/>
                <w:szCs w:val="20"/>
              </w:rPr>
              <w:t>1.第一作者或通讯作者的CSSCI、CSCD论文2篇及以上或SSCI、SCI论文1篇及以上；2.原则上要求35周岁以下；3.满足我校六类人</w:t>
            </w:r>
            <w:r>
              <w:rPr>
                <w:rFonts w:hint="eastAsia" w:ascii="仿宋" w:hAnsi="仿宋" w:eastAsia="仿宋" w:cs="宋体"/>
                <w:color w:val="000000"/>
                <w:kern w:val="0"/>
                <w:sz w:val="20"/>
                <w:szCs w:val="20"/>
              </w:rPr>
              <w:t>高老师：0553--5910536</w:t>
            </w:r>
          </w:p>
          <w:p>
            <w:pPr>
              <w:widowControl/>
              <w:spacing w:line="260" w:lineRule="exact"/>
              <w:jc w:val="left"/>
              <w:rPr>
                <w:rFonts w:ascii="仿宋_GB2312" w:hAnsi="宋体" w:eastAsia="仿宋_GB2312" w:cs="宋体"/>
                <w:color w:val="000000"/>
                <w:kern w:val="0"/>
                <w:sz w:val="20"/>
                <w:szCs w:val="20"/>
              </w:rPr>
            </w:pPr>
            <w:r>
              <w:rPr>
                <w:rFonts w:hint="eastAsia" w:ascii="仿宋" w:hAnsi="仿宋" w:eastAsia="仿宋" w:cs="宋体"/>
                <w:color w:val="000000"/>
                <w:kern w:val="0"/>
                <w:sz w:val="20"/>
                <w:szCs w:val="20"/>
              </w:rPr>
              <w:t>邮箱：asdgzl@163.com</w:t>
            </w:r>
            <w:r>
              <w:rPr>
                <w:rFonts w:hint="eastAsia" w:ascii="仿宋_GB2312" w:hAnsi="宋体" w:eastAsia="仿宋_GB2312" w:cs="宋体"/>
                <w:color w:val="000000"/>
                <w:kern w:val="0"/>
                <w:sz w:val="20"/>
                <w:szCs w:val="20"/>
              </w:rPr>
              <w:t>才及以上标准或有境外留学经历者同等条件者优先考虑。</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117"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学前教育学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学前教育</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学前儿童美术教育、学前教育心理学、幼儿园教学活动设计与实施等</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具有博士学位，年龄35周岁以下，且本科和硕士研究生、博士研究生阶段所读专业至少有两个是学前教育专业，作为第一作者发表过1篇以上CSSCI文章。</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体育学院</w:t>
            </w: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体育及相关学科</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运动训练</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田径、足球教学与训练</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男性，一级及以上运动员，十项全能或博士优先。</w:t>
            </w:r>
          </w:p>
        </w:tc>
        <w:tc>
          <w:tcPr>
            <w:tcW w:w="567" w:type="dxa"/>
            <w:vMerge w:val="restart"/>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709" w:type="dxa"/>
            <w:tcMar>
              <w:left w:w="28" w:type="dxa"/>
              <w:right w:w="28" w:type="dxa"/>
            </w:tcMar>
            <w:vAlign w:val="center"/>
          </w:tcPr>
          <w:p>
            <w:pPr>
              <w:widowControl/>
              <w:jc w:val="center"/>
              <w:rPr>
                <w:rFonts w:ascii="仿宋_GB2312" w:hAnsi="宋体" w:eastAsia="仿宋_GB2312" w:cs="宋体"/>
                <w:b/>
                <w:bCs/>
                <w:color w:val="000000"/>
                <w:kern w:val="0"/>
                <w:sz w:val="20"/>
                <w:szCs w:val="20"/>
              </w:rPr>
            </w:pPr>
          </w:p>
        </w:tc>
        <w:tc>
          <w:tcPr>
            <w:tcW w:w="465"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10</w:t>
            </w:r>
          </w:p>
        </w:tc>
        <w:tc>
          <w:tcPr>
            <w:tcW w:w="2657" w:type="dxa"/>
            <w:vMerge w:val="restart"/>
            <w:tcMar>
              <w:left w:w="28" w:type="dxa"/>
              <w:right w:w="28" w:type="dxa"/>
            </w:tcMar>
            <w:vAlign w:val="center"/>
          </w:tcPr>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席老师：0553--5910705</w:t>
            </w:r>
          </w:p>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邮箱：2256532810@qq.com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8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体育及相关学科</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舞蹈表演</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体育舞蹈教学与训练</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男性，全国赛（CEFA体育舞蹈全国锦标赛，CBDF体育舞蹈全国锦标赛，CDSF体育舞蹈全国锦标赛，大体协体育舞蹈全国总决赛）前六名，博士优先。</w:t>
            </w:r>
          </w:p>
        </w:tc>
        <w:tc>
          <w:tcPr>
            <w:tcW w:w="567" w:type="dxa"/>
            <w:vMerge w:val="continue"/>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b/>
                <w:bCs/>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体育及相关学科</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休闲体育</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攀岩、户外、营地等课程</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通过相关资质认证，博士优先。</w:t>
            </w:r>
          </w:p>
        </w:tc>
        <w:tc>
          <w:tcPr>
            <w:tcW w:w="567" w:type="dxa"/>
            <w:vMerge w:val="continue"/>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b/>
                <w:bCs/>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445"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体育教育训练学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体育教育</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专项教学与训练</w:t>
            </w:r>
          </w:p>
        </w:tc>
        <w:tc>
          <w:tcPr>
            <w:tcW w:w="3682" w:type="dxa"/>
            <w:vMerge w:val="restart"/>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以第一作者在本学科核心期刊发表论文2篇及以上，第一学历须为体育类专业。</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vMerge w:val="restart"/>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382"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民族传统体育</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休闲体育</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武术或龙狮运动</w:t>
            </w:r>
          </w:p>
        </w:tc>
        <w:tc>
          <w:tcPr>
            <w:tcW w:w="3682" w:type="dxa"/>
            <w:vMerge w:val="continue"/>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vMerge w:val="continue"/>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60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体育人文社会学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社会体育</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体育产业、体育管理相关课程</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以第一作者在本学科核心期刊发表论文2篇及以上</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vMerge w:val="continue"/>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397" w:hRule="atLeast"/>
          <w:jc w:val="center"/>
        </w:trPr>
        <w:tc>
          <w:tcPr>
            <w:tcW w:w="1643"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体育学院</w:t>
            </w: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运动人体科学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运动训练</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运动损伤与康复、体育保健学</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xml:space="preserve">以第一作者发表sci期刊论文2篇以上（含2篇），或以第一作者发表CSSCI期刊2篇以上 。    </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vMerge w:val="continue"/>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397"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体育教育训练学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体育教育</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篮球</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篮球二级运动员，一级裁判员。有高校从教经历者优先且年龄放宽。</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709"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397"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体育教育训练学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舞蹈表演</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体育舞蹈</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获得过体育舞蹈国际赛事前三名。有高校从教经历者优先且年龄放宽；获得省级及以上教学奖优先。</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397"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体育教育训练学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舞蹈表演</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现代舞</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有高校从教经历者优先且年龄放宽。</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397"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体育教育训练学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社会体育指导与管理</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羽毛球</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羽毛球二级运动员。有高校从教经历者优先且年龄放宽。</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397" w:hRule="atLeast"/>
          <w:jc w:val="center"/>
        </w:trPr>
        <w:tc>
          <w:tcPr>
            <w:tcW w:w="1643"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外国语学院</w:t>
            </w: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英语语言文学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英语</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综合英语、高级英语、口译、语言学概论</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硕士3个计划中为学科课程与教学论方向不少于1个，翻译方向少于1个；有高校从教经历者优先且年龄放宽。</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w:t>
            </w: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13</w:t>
            </w:r>
          </w:p>
        </w:tc>
        <w:tc>
          <w:tcPr>
            <w:tcW w:w="2657" w:type="dxa"/>
            <w:vMerge w:val="restart"/>
            <w:tcMar>
              <w:left w:w="28" w:type="dxa"/>
              <w:right w:w="28" w:type="dxa"/>
            </w:tcMar>
            <w:vAlign w:val="center"/>
          </w:tcPr>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张老师：0553--5910559</w:t>
            </w:r>
          </w:p>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邮箱：cl28518@mail.ahnu.edu.cn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397"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俄语语言文学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俄语</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现代俄语概论、俄汉翻译、俄语口译、俄语写作</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397"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日语语言文学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日语</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spacing w:val="-12"/>
                <w:kern w:val="0"/>
                <w:sz w:val="20"/>
                <w:szCs w:val="20"/>
              </w:rPr>
            </w:pPr>
            <w:r>
              <w:rPr>
                <w:rFonts w:hint="eastAsia" w:ascii="仿宋_GB2312" w:hAnsi="宋体" w:eastAsia="仿宋_GB2312" w:cs="宋体"/>
                <w:color w:val="000000"/>
                <w:spacing w:val="-12"/>
                <w:kern w:val="0"/>
                <w:sz w:val="20"/>
                <w:szCs w:val="20"/>
              </w:rPr>
              <w:t>日语语言学概论、日汉笔译、日汉口译</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397"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法语语言文学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法语</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法语语法、法语语言学导论、法国文学史、法语笔译</w:t>
            </w:r>
          </w:p>
        </w:tc>
        <w:tc>
          <w:tcPr>
            <w:tcW w:w="3682" w:type="dxa"/>
            <w:tcMar>
              <w:left w:w="28" w:type="dxa"/>
              <w:right w:w="28" w:type="dxa"/>
            </w:tcMar>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有高校从教经历者优先且年龄放宽</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397"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欧洲语言文学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英语</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葡萄牙语口语、葡萄牙语语法、葡萄牙语文学</w:t>
            </w:r>
          </w:p>
        </w:tc>
        <w:tc>
          <w:tcPr>
            <w:tcW w:w="3682" w:type="dxa"/>
            <w:tcMar>
              <w:left w:w="28" w:type="dxa"/>
              <w:right w:w="28" w:type="dxa"/>
            </w:tcMar>
            <w:vAlign w:val="center"/>
          </w:tcPr>
          <w:p>
            <w:pPr>
              <w:widowControl/>
              <w:jc w:val="left"/>
              <w:rPr>
                <w:rFonts w:ascii="仿宋" w:hAnsi="仿宋" w:eastAsia="仿宋"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863" w:hRule="atLeast"/>
          <w:jc w:val="center"/>
        </w:trPr>
        <w:tc>
          <w:tcPr>
            <w:tcW w:w="1643"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新闻与传播学院</w:t>
            </w: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新闻学</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新闻学</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中外新闻史、新闻采访与写作、传播学等相关课程</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1.博士须是新闻传播学方向；2.发表CSSCI来源期刊论文2篇以上。</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5</w:t>
            </w:r>
          </w:p>
        </w:tc>
        <w:tc>
          <w:tcPr>
            <w:tcW w:w="2657" w:type="dxa"/>
            <w:vMerge w:val="restart"/>
            <w:tcMar>
              <w:left w:w="28" w:type="dxa"/>
              <w:right w:w="28" w:type="dxa"/>
            </w:tcMar>
            <w:vAlign w:val="center"/>
          </w:tcPr>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杨老师：0553--5910902</w:t>
            </w:r>
          </w:p>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邮箱：bly68820@163.com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26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传播学</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广告学</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新媒体营销、新媒体技术、社会化媒体研究、数据分析与应用等</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硕士和博士学位专业方向均为新闻传播学者优先；2.以第一作者身份发表发表CSSCI来源期刊论文2篇以上（含），主持有省部级以上项目者优先考虑；3.1983年12月31日后出生；具有高级专业技术职称者，年龄可适当放宽。</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357"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广播电视艺术学</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播音与主持艺术</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影视配音、表演基础等</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硕士阶段须为戏剧与影视学一级学科或其他艺术类相关学科（专业），本科阶段须为播音与主持艺术、影视配音、表演等相关专业；2.普通话水平一级乙等及以上；3.具有一定的相关领域工作经历或实践经验者优先考虑。</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center"/>
              <w:rPr>
                <w:rFonts w:ascii="仿宋_GB2312" w:hAnsi="宋体" w:eastAsia="仿宋_GB2312" w:cs="宋体"/>
                <w:b/>
                <w:bCs/>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753"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4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广播电视艺术视学</w:t>
            </w:r>
          </w:p>
        </w:tc>
        <w:tc>
          <w:tcPr>
            <w:tcW w:w="1490" w:type="dxa"/>
            <w:tcMar>
              <w:left w:w="28" w:type="dxa"/>
              <w:right w:w="28" w:type="dxa"/>
            </w:tcMar>
            <w:vAlign w:val="center"/>
          </w:tcPr>
          <w:p>
            <w:pPr>
              <w:widowControl/>
              <w:spacing w:line="24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动画</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动作设计、动画运动规律等</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1.1985年以后出生；硕士阶段须为戏剧与影视学一级学科（含广播电视艺术学、动画等专业方向）；2.本科阶段专业为动画专业者优先；3.在国家或地方电视媒体公开播出过影视作品，并具有一定的相关领域工作经历或实践经验者优先；4.已获得相关职业资格认证优先，有高校从教经历者优先且年龄放宽。</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center"/>
              <w:rPr>
                <w:rFonts w:ascii="仿宋_GB2312" w:hAnsi="宋体" w:eastAsia="仿宋_GB2312" w:cs="宋体"/>
                <w:b/>
                <w:bCs/>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996"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新闻传播学、计算机应用相关专业</w:t>
            </w:r>
          </w:p>
        </w:tc>
        <w:tc>
          <w:tcPr>
            <w:tcW w:w="1490"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网络与新媒体</w:t>
            </w:r>
          </w:p>
        </w:tc>
        <w:tc>
          <w:tcPr>
            <w:tcW w:w="1618" w:type="dxa"/>
            <w:tcMar>
              <w:left w:w="28" w:type="dxa"/>
              <w:right w:w="28" w:type="dxa"/>
            </w:tcMar>
            <w:vAlign w:val="center"/>
          </w:tcPr>
          <w:p>
            <w:pPr>
              <w:widowControl/>
              <w:spacing w:line="24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非虚构写作、媒介与社会研究、影视文化研究、视觉传播、电视摄像与剪辑等</w:t>
            </w:r>
          </w:p>
        </w:tc>
        <w:tc>
          <w:tcPr>
            <w:tcW w:w="3682" w:type="dxa"/>
            <w:tcMar>
              <w:left w:w="28" w:type="dxa"/>
              <w:right w:w="28" w:type="dxa"/>
            </w:tcMar>
            <w:vAlign w:val="center"/>
          </w:tcPr>
          <w:p>
            <w:pPr>
              <w:widowControl/>
              <w:spacing w:line="24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xml:space="preserve">1.1985年以后出生；有省级广电媒体或主流网络媒体三年以上实践从业经验者，年龄条件可放宽；2.新闻传播学或计算机应用等相关专业（方向）。本科、硕士或博士阶段有广播电视学、戏剧与影视学、网络与新媒体或计算机网络等专业（方向）学历背景者优先；3.以第一作者发表至少两篇CSSCI以上者优先。  </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restart"/>
            <w:tcMar>
              <w:left w:w="28" w:type="dxa"/>
              <w:right w:w="28" w:type="dxa"/>
            </w:tcMar>
            <w:vAlign w:val="center"/>
          </w:tcPr>
          <w:p>
            <w:pPr>
              <w:widowControl/>
              <w:spacing w:line="26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数学与统计学院</w:t>
            </w: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数学类</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数学与应用数学</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相关课程教学、科研</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restart"/>
            <w:tcMar>
              <w:left w:w="28" w:type="dxa"/>
              <w:right w:w="28" w:type="dxa"/>
            </w:tcMar>
            <w:vAlign w:val="center"/>
          </w:tcPr>
          <w:p>
            <w:pPr>
              <w:widowControl/>
              <w:spacing w:line="26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5</w:t>
            </w:r>
          </w:p>
        </w:tc>
        <w:tc>
          <w:tcPr>
            <w:tcW w:w="2657" w:type="dxa"/>
            <w:vMerge w:val="restart"/>
            <w:tcMar>
              <w:left w:w="28" w:type="dxa"/>
              <w:right w:w="28" w:type="dxa"/>
            </w:tcMar>
            <w:vAlign w:val="center"/>
          </w:tcPr>
          <w:p>
            <w:pPr>
              <w:widowControl/>
              <w:spacing w:line="26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任老师：0553--5910646</w:t>
            </w:r>
          </w:p>
          <w:p>
            <w:pPr>
              <w:widowControl/>
              <w:spacing w:line="26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邮箱：renyongl@126com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学科教学论（数学）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数学与应用数学</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中学数学研究、数学课程与教学论</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960" w:hRule="atLeast"/>
          <w:jc w:val="center"/>
        </w:trPr>
        <w:tc>
          <w:tcPr>
            <w:tcW w:w="1643"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统计学类、经济学类</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统计学</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统计学和经济统计学系列课程、计算金融、国民经济核算。</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restart"/>
            <w:tcMar>
              <w:left w:w="28" w:type="dxa"/>
              <w:right w:w="28" w:type="dxa"/>
            </w:tcMar>
            <w:vAlign w:val="center"/>
          </w:tcPr>
          <w:p>
            <w:pPr>
              <w:widowControl/>
              <w:spacing w:line="260" w:lineRule="exact"/>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计算机与信息</w:t>
            </w:r>
          </w:p>
          <w:p>
            <w:pPr>
              <w:widowControl/>
              <w:spacing w:line="26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学院</w:t>
            </w: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计算机类</w:t>
            </w:r>
            <w:r>
              <w:rPr>
                <w:rFonts w:hint="eastAsia" w:ascii="仿宋_GB2312" w:hAnsi="宋体" w:eastAsia="仿宋_GB2312" w:cs="宋体"/>
                <w:color w:val="000000"/>
                <w:kern w:val="0"/>
                <w:sz w:val="20"/>
                <w:szCs w:val="20"/>
              </w:rPr>
              <w:br w:type="textWrapping"/>
            </w:r>
            <w:r>
              <w:rPr>
                <w:rFonts w:hint="eastAsia" w:ascii="仿宋_GB2312" w:hAnsi="宋体" w:eastAsia="仿宋_GB2312" w:cs="宋体"/>
                <w:color w:val="000000"/>
                <w:kern w:val="0"/>
                <w:sz w:val="20"/>
                <w:szCs w:val="20"/>
              </w:rPr>
              <w:t>相关专业</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计算机科学与技术</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信息安全、密码学等</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restart"/>
            <w:tcMar>
              <w:left w:w="28" w:type="dxa"/>
              <w:right w:w="28" w:type="dxa"/>
            </w:tcMar>
            <w:vAlign w:val="center"/>
          </w:tcPr>
          <w:p>
            <w:pPr>
              <w:widowControl/>
              <w:spacing w:line="26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7</w:t>
            </w:r>
          </w:p>
        </w:tc>
        <w:tc>
          <w:tcPr>
            <w:tcW w:w="2657" w:type="dxa"/>
            <w:vMerge w:val="restart"/>
            <w:tcMar>
              <w:left w:w="28" w:type="dxa"/>
              <w:right w:w="28" w:type="dxa"/>
            </w:tcMar>
            <w:vAlign w:val="center"/>
          </w:tcPr>
          <w:p>
            <w:pPr>
              <w:widowControl/>
              <w:spacing w:line="260" w:lineRule="exact"/>
              <w:jc w:val="center"/>
              <w:rPr>
                <w:rFonts w:hint="eastAsia" w:ascii="仿宋" w:hAnsi="仿宋" w:eastAsia="仿宋" w:cs="宋体"/>
                <w:color w:val="000000"/>
                <w:kern w:val="0"/>
                <w:sz w:val="20"/>
                <w:szCs w:val="20"/>
                <w:lang w:val="en-US" w:eastAsia="zh-CN"/>
              </w:rPr>
            </w:pPr>
            <w:r>
              <w:rPr>
                <w:rFonts w:hint="eastAsia" w:ascii="仿宋" w:hAnsi="仿宋" w:eastAsia="仿宋" w:cs="宋体"/>
                <w:color w:val="000000"/>
                <w:kern w:val="0"/>
                <w:sz w:val="20"/>
                <w:szCs w:val="20"/>
                <w:lang w:eastAsia="zh-CN"/>
              </w:rPr>
              <w:t>罗</w:t>
            </w:r>
            <w:r>
              <w:rPr>
                <w:rFonts w:hint="eastAsia" w:ascii="仿宋" w:hAnsi="仿宋" w:eastAsia="仿宋" w:cs="宋体"/>
                <w:color w:val="000000"/>
                <w:kern w:val="0"/>
                <w:sz w:val="20"/>
                <w:szCs w:val="20"/>
              </w:rPr>
              <w:t>老师：</w:t>
            </w:r>
            <w:r>
              <w:rPr>
                <w:rFonts w:hint="eastAsia" w:ascii="仿宋" w:hAnsi="仿宋" w:eastAsia="仿宋" w:cs="宋体"/>
                <w:color w:val="auto"/>
                <w:kern w:val="0"/>
                <w:sz w:val="20"/>
                <w:szCs w:val="20"/>
              </w:rPr>
              <w:t>0553--5910</w:t>
            </w:r>
            <w:r>
              <w:rPr>
                <w:rFonts w:hint="eastAsia" w:ascii="仿宋" w:hAnsi="仿宋" w:eastAsia="仿宋" w:cs="宋体"/>
                <w:color w:val="auto"/>
                <w:kern w:val="0"/>
                <w:sz w:val="20"/>
                <w:szCs w:val="20"/>
                <w:lang w:val="en-US" w:eastAsia="zh-CN"/>
              </w:rPr>
              <w:t>645</w:t>
            </w:r>
          </w:p>
          <w:p>
            <w:pPr>
              <w:widowControl/>
              <w:spacing w:line="26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邮箱：ylluo@ustc.edu.cn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计算机类</w:t>
            </w:r>
            <w:r>
              <w:rPr>
                <w:rFonts w:hint="eastAsia" w:ascii="仿宋_GB2312" w:hAnsi="宋体" w:eastAsia="仿宋_GB2312" w:cs="宋体"/>
                <w:color w:val="000000"/>
                <w:kern w:val="0"/>
                <w:sz w:val="20"/>
                <w:szCs w:val="20"/>
              </w:rPr>
              <w:br w:type="textWrapping"/>
            </w:r>
            <w:r>
              <w:rPr>
                <w:rFonts w:hint="eastAsia" w:ascii="仿宋_GB2312" w:hAnsi="宋体" w:eastAsia="仿宋_GB2312" w:cs="宋体"/>
                <w:color w:val="000000"/>
                <w:kern w:val="0"/>
                <w:sz w:val="20"/>
                <w:szCs w:val="20"/>
              </w:rPr>
              <w:t>相关专业</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软件工程</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数据挖掘、大数据等</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计算机类</w:t>
            </w:r>
            <w:r>
              <w:rPr>
                <w:rFonts w:hint="eastAsia" w:ascii="仿宋_GB2312" w:hAnsi="宋体" w:eastAsia="仿宋_GB2312" w:cs="宋体"/>
                <w:color w:val="000000"/>
                <w:kern w:val="0"/>
                <w:sz w:val="20"/>
                <w:szCs w:val="20"/>
              </w:rPr>
              <w:br w:type="textWrapping"/>
            </w:r>
            <w:r>
              <w:rPr>
                <w:rFonts w:hint="eastAsia" w:ascii="仿宋_GB2312" w:hAnsi="宋体" w:eastAsia="仿宋_GB2312" w:cs="宋体"/>
                <w:color w:val="000000"/>
                <w:kern w:val="0"/>
                <w:sz w:val="20"/>
                <w:szCs w:val="20"/>
              </w:rPr>
              <w:t>相关专业</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物联网工程</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自动控制原理、机器人概论等</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877" w:hRule="atLeast"/>
          <w:jc w:val="center"/>
        </w:trPr>
        <w:tc>
          <w:tcPr>
            <w:tcW w:w="1643"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模式识别与智能系统</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软件工程</w:t>
            </w:r>
          </w:p>
        </w:tc>
        <w:tc>
          <w:tcPr>
            <w:tcW w:w="1618" w:type="dxa"/>
            <w:tcMar>
              <w:left w:w="28" w:type="dxa"/>
              <w:right w:w="28" w:type="dxa"/>
            </w:tcMar>
            <w:vAlign w:val="center"/>
          </w:tcPr>
          <w:p>
            <w:pPr>
              <w:widowControl/>
              <w:spacing w:line="260" w:lineRule="exact"/>
              <w:jc w:val="center"/>
              <w:rPr>
                <w:rFonts w:ascii="仿宋" w:hAnsi="仿宋" w:eastAsia="仿宋" w:cs="宋体"/>
                <w:color w:val="000000"/>
                <w:kern w:val="0"/>
                <w:sz w:val="20"/>
                <w:szCs w:val="20"/>
              </w:rPr>
            </w:pPr>
            <w:r>
              <w:rPr>
                <w:rFonts w:hint="eastAsia" w:ascii="仿宋_GB2312" w:hAnsi="宋体" w:eastAsia="仿宋_GB2312" w:cs="宋体"/>
                <w:color w:val="000000"/>
                <w:kern w:val="0"/>
                <w:sz w:val="20"/>
                <w:szCs w:val="20"/>
              </w:rPr>
              <w:t>软件开发等</w:t>
            </w:r>
          </w:p>
        </w:tc>
        <w:tc>
          <w:tcPr>
            <w:tcW w:w="3682" w:type="dxa"/>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40周岁以下，硕士为“双一流”高校毕业；有国内外著名企业工作经历，从事大型软件性能和功能测试经验三年以上实践经验者优先。</w:t>
            </w:r>
          </w:p>
        </w:tc>
        <w:tc>
          <w:tcPr>
            <w:tcW w:w="567" w:type="dxa"/>
            <w:tcMar>
              <w:left w:w="28" w:type="dxa"/>
              <w:right w:w="28" w:type="dxa"/>
            </w:tcMar>
            <w:vAlign w:val="center"/>
          </w:tcPr>
          <w:p>
            <w:pPr>
              <w:widowControl/>
              <w:spacing w:line="26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1</w:t>
            </w:r>
          </w:p>
        </w:tc>
        <w:tc>
          <w:tcPr>
            <w:tcW w:w="709" w:type="dxa"/>
            <w:tcMar>
              <w:left w:w="28" w:type="dxa"/>
              <w:right w:w="28" w:type="dxa"/>
            </w:tcMar>
            <w:vAlign w:val="center"/>
          </w:tcPr>
          <w:p>
            <w:pPr>
              <w:widowControl/>
              <w:spacing w:line="260" w:lineRule="exact"/>
              <w:jc w:val="center"/>
              <w:rPr>
                <w:rFonts w:ascii="仿宋" w:hAnsi="仿宋" w:eastAsia="仿宋" w:cs="宋体"/>
                <w:color w:val="000000"/>
                <w:kern w:val="0"/>
                <w:sz w:val="20"/>
                <w:szCs w:val="20"/>
              </w:rPr>
            </w:pPr>
          </w:p>
        </w:tc>
        <w:tc>
          <w:tcPr>
            <w:tcW w:w="465"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020" w:hRule="atLeast"/>
          <w:jc w:val="center"/>
        </w:trPr>
        <w:tc>
          <w:tcPr>
            <w:tcW w:w="1643" w:type="dxa"/>
            <w:vMerge w:val="restart"/>
            <w:tcMar>
              <w:left w:w="28" w:type="dxa"/>
              <w:right w:w="28" w:type="dxa"/>
            </w:tcMar>
            <w:vAlign w:val="center"/>
          </w:tcPr>
          <w:p>
            <w:pPr>
              <w:widowControl/>
              <w:spacing w:line="26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物理与电子信息</w:t>
            </w:r>
          </w:p>
          <w:p>
            <w:pPr>
              <w:widowControl/>
              <w:spacing w:line="26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学院</w:t>
            </w: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电路与系统或电磁场与微波技术</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电子信息工程</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高频电子线路、微波技术与天线</w:t>
            </w:r>
          </w:p>
        </w:tc>
        <w:tc>
          <w:tcPr>
            <w:tcW w:w="3682" w:type="dxa"/>
            <w:vMerge w:val="restart"/>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1.博士学位，年龄不超过35周岁；2.科研成果突出或有海外研究背景者优先。</w:t>
            </w:r>
          </w:p>
        </w:tc>
        <w:tc>
          <w:tcPr>
            <w:tcW w:w="567"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restart"/>
            <w:tcMar>
              <w:left w:w="28" w:type="dxa"/>
              <w:right w:w="28" w:type="dxa"/>
            </w:tcMar>
            <w:vAlign w:val="center"/>
          </w:tcPr>
          <w:p>
            <w:pPr>
              <w:widowControl/>
              <w:spacing w:line="26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5</w:t>
            </w:r>
          </w:p>
        </w:tc>
        <w:tc>
          <w:tcPr>
            <w:tcW w:w="2657" w:type="dxa"/>
            <w:vMerge w:val="restart"/>
            <w:tcMar>
              <w:left w:w="28" w:type="dxa"/>
              <w:right w:w="28" w:type="dxa"/>
            </w:tcMar>
            <w:vAlign w:val="center"/>
          </w:tcPr>
          <w:p>
            <w:pPr>
              <w:widowControl/>
              <w:spacing w:line="26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郑老师：0553--3883253</w:t>
            </w:r>
          </w:p>
          <w:p>
            <w:pPr>
              <w:widowControl/>
              <w:spacing w:line="26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邮箱：zxf7002@mail.ahnu.edu.cn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840" w:hRule="atLeast"/>
          <w:jc w:val="center"/>
        </w:trPr>
        <w:tc>
          <w:tcPr>
            <w:tcW w:w="1643"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光学工程</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光电信息科学与技术</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物理光学、信息光学、光电器件与系统</w:t>
            </w:r>
          </w:p>
        </w:tc>
        <w:tc>
          <w:tcPr>
            <w:tcW w:w="3682" w:type="dxa"/>
            <w:vMerge w:val="continue"/>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721" w:hRule="atLeast"/>
          <w:jc w:val="center"/>
        </w:trPr>
        <w:tc>
          <w:tcPr>
            <w:tcW w:w="1643"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通信与信息系统或信号与信息处理</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xml:space="preserve">通信工程 </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无线通信网络相关课程、DSP技术</w:t>
            </w:r>
          </w:p>
        </w:tc>
        <w:tc>
          <w:tcPr>
            <w:tcW w:w="3682" w:type="dxa"/>
            <w:vMerge w:val="continue"/>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057" w:hRule="atLeast"/>
          <w:jc w:val="center"/>
        </w:trPr>
        <w:tc>
          <w:tcPr>
            <w:tcW w:w="1643" w:type="dxa"/>
            <w:vMerge w:val="restart"/>
            <w:tcMar>
              <w:left w:w="28" w:type="dxa"/>
              <w:right w:w="28" w:type="dxa"/>
            </w:tcMar>
            <w:vAlign w:val="center"/>
          </w:tcPr>
          <w:p>
            <w:pPr>
              <w:widowControl/>
              <w:spacing w:line="26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物理与电子信息学院</w:t>
            </w: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控制理论与控制工程或检测技术与自动化装置</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自动化</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运动控制系统、工业控制网络</w:t>
            </w:r>
          </w:p>
        </w:tc>
        <w:tc>
          <w:tcPr>
            <w:tcW w:w="3682" w:type="dxa"/>
            <w:vMerge w:val="restart"/>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780" w:hRule="atLeast"/>
          <w:jc w:val="center"/>
        </w:trPr>
        <w:tc>
          <w:tcPr>
            <w:tcW w:w="1643"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课程与教学论、光学</w:t>
            </w:r>
          </w:p>
        </w:tc>
        <w:tc>
          <w:tcPr>
            <w:tcW w:w="1490"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物理学</w:t>
            </w:r>
          </w:p>
        </w:tc>
        <w:tc>
          <w:tcPr>
            <w:tcW w:w="1618"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中学物理教学研究、激光物理与技术等</w:t>
            </w:r>
          </w:p>
        </w:tc>
        <w:tc>
          <w:tcPr>
            <w:tcW w:w="3682" w:type="dxa"/>
            <w:vMerge w:val="continue"/>
            <w:tcMar>
              <w:left w:w="28" w:type="dxa"/>
              <w:right w:w="28" w:type="dxa"/>
            </w:tcMar>
            <w:vAlign w:val="center"/>
          </w:tcPr>
          <w:p>
            <w:pPr>
              <w:widowControl/>
              <w:spacing w:line="260" w:lineRule="exact"/>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spacing w:line="26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26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613" w:hRule="atLeast"/>
          <w:jc w:val="center"/>
        </w:trPr>
        <w:tc>
          <w:tcPr>
            <w:tcW w:w="1643"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化学与材料科学学院</w:t>
            </w: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课程与教学论（化学）</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化学</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化学教学论、化学教学技能研究与训练、现代教育技术（化学）、化学教学论实验</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1.本科为化学专业（师范）背景、硕士为课程与教学论（化学）背景；2.能够承担课程与教学论（化学）方向的相关专业课、实验和实习的教学工作；3.有一定的科研成果。</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4</w:t>
            </w:r>
          </w:p>
        </w:tc>
        <w:tc>
          <w:tcPr>
            <w:tcW w:w="2657" w:type="dxa"/>
            <w:vMerge w:val="restart"/>
            <w:tcMar>
              <w:left w:w="28" w:type="dxa"/>
              <w:right w:w="28" w:type="dxa"/>
            </w:tcMar>
            <w:vAlign w:val="center"/>
          </w:tcPr>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高老师：0553--3937137</w:t>
            </w:r>
          </w:p>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邮箱：fgao@mail.ahnu.edu.cn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807"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应用化学</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应用化学</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工业催化、精细化工</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年龄33岁以下；2.本科学历为化学工程或应用化学或工业催化；硕士阶段所学专业为催化相关或相近专业，博士阶段所学专业为工业催化；3.具有石油化工、能源催化或精细化工催化研究背景优先；4.有一定的科研成果。</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082"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无机非金属材料、有机高分子材料、凝聚态物理学等</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材料化学</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无机非金属材料工学、高分子成型加工、工程力学等</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1.年龄33岁以下；2.能胜任相关课程教学，且有较出色的科研成果，在相关领域国际重要期刊发表过3篇以上第一作者论文。</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112"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化学工程与工艺</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化学工程与工艺</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化工设计、化工过程分析与合成、化工过程控制等</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1.年龄33岁以下；2.本科或博士是化工专业毕业，具有工程背景优先。</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288" w:hRule="atLeast"/>
          <w:jc w:val="center"/>
        </w:trPr>
        <w:tc>
          <w:tcPr>
            <w:tcW w:w="1643"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地理与旅游学院</w:t>
            </w: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金融学、产业经济学、统计学、数量经济学、人文地理等</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酒店管理</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酒店投资与成本控制、酒店运营与财务管理、收益管理、品牌管理等</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8</w:t>
            </w:r>
          </w:p>
        </w:tc>
        <w:tc>
          <w:tcPr>
            <w:tcW w:w="2657" w:type="dxa"/>
            <w:vMerge w:val="restart"/>
            <w:tcMar>
              <w:left w:w="28" w:type="dxa"/>
              <w:right w:w="28" w:type="dxa"/>
            </w:tcMar>
            <w:vAlign w:val="center"/>
          </w:tcPr>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苏老师：0553--5910731</w:t>
            </w:r>
          </w:p>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邮箱：ahsuqin@263.net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797"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土地资源管理</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土地资源管理</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公共管理与公共政策</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本科土地资源管理专业，硕士和博士为公共管理类专业。</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地图学与地理信息系统</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地理信息科学</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计算机图形学</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本科GIS专业、计算机专业，硕士和博士为GIS专业。</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686"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旅游管理</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旅游管理</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旅游目的地管理、旅游文化创意与策划、主题公园管理、会展管理</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534"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建筑设计</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城乡规划</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承担本科教学核心课程</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交通运输及其相关专业优先；年度考核优秀；教学科研工作服从城乡教研室统筹安排，热心学院公共事务；有高校从教经历者且年龄放宽先。</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797"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xml:space="preserve"> 城乡规划、 风景园林、交通运输工程等</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城乡规划</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城乡基础设施规划、城乡规划管理与法规、风景园林规划与设计、城乡道路与交通等</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057" w:hRule="atLeast"/>
          <w:jc w:val="center"/>
        </w:trPr>
        <w:tc>
          <w:tcPr>
            <w:tcW w:w="1643"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环境科学与工程学院</w:t>
            </w: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环境科学</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环境科学</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环境信息系统、工程制图、大气污染控制工程等</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以第一作者发表环境类SCI研究论文2篇以上，累计影响因子不低于6.0；或有2篇JCR二区及以上论文；有海外学习经历者优先。</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restart"/>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4</w:t>
            </w:r>
          </w:p>
        </w:tc>
        <w:tc>
          <w:tcPr>
            <w:tcW w:w="2657" w:type="dxa"/>
            <w:vMerge w:val="restart"/>
            <w:tcMar>
              <w:left w:w="28" w:type="dxa"/>
              <w:right w:w="28" w:type="dxa"/>
            </w:tcMar>
            <w:vAlign w:val="center"/>
          </w:tcPr>
          <w:p>
            <w:pPr>
              <w:widowControl/>
              <w:spacing w:line="300" w:lineRule="exact"/>
              <w:jc w:val="center"/>
              <w:rPr>
                <w:rFonts w:ascii="仿宋" w:hAnsi="仿宋" w:eastAsia="仿宋" w:cs="宋体"/>
                <w:color w:val="000000"/>
                <w:kern w:val="0"/>
                <w:sz w:val="20"/>
                <w:szCs w:val="20"/>
              </w:rPr>
            </w:pPr>
            <w:bookmarkStart w:id="0" w:name="_GoBack"/>
            <w:r>
              <w:rPr>
                <w:rFonts w:hint="eastAsia" w:ascii="仿宋" w:hAnsi="仿宋" w:eastAsia="仿宋" w:cs="宋体"/>
                <w:color w:val="000000"/>
                <w:kern w:val="0"/>
                <w:sz w:val="20"/>
                <w:szCs w:val="20"/>
              </w:rPr>
              <w:t>周老师：0553--5910721</w:t>
            </w:r>
          </w:p>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邮箱：zhoushoubiao@vip.163.com</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321"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食品科学与工程</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食品质量与安全</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食品毒理学、食品分析与检验、食品保藏技术、食品微生物学等</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以第一作者发表SCI源期刊论文2篇以上，累计影响因子5.0以上。</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381" w:hRule="atLeast"/>
          <w:jc w:val="center"/>
        </w:trPr>
        <w:tc>
          <w:tcPr>
            <w:tcW w:w="1643"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食品科学与工程</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食品科学与工程</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食品工程原理、食品工艺学、食品工厂设计、食品机械与设备等</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以第一作者发表SCI源期刊论文2篇以上，累计影响因子5.0以上。</w:t>
            </w: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vMerge w:val="continue"/>
            <w:tcMar>
              <w:left w:w="28" w:type="dxa"/>
              <w:right w:w="28" w:type="dxa"/>
            </w:tcMar>
            <w:vAlign w:val="center"/>
          </w:tcPr>
          <w:p>
            <w:pPr>
              <w:widowControl/>
              <w:jc w:val="left"/>
              <w:rPr>
                <w:rFonts w:ascii="仿宋" w:hAnsi="仿宋" w:eastAsia="仿宋" w:cs="宋体"/>
                <w:color w:val="000000"/>
                <w:kern w:val="0"/>
                <w:sz w:val="20"/>
                <w:szCs w:val="20"/>
              </w:rPr>
            </w:pPr>
          </w:p>
        </w:tc>
        <w:tc>
          <w:tcPr>
            <w:tcW w:w="2657" w:type="dxa"/>
            <w:vMerge w:val="continue"/>
            <w:tcMar>
              <w:left w:w="28" w:type="dxa"/>
              <w:right w:w="28" w:type="dxa"/>
            </w:tcMar>
            <w:vAlign w:val="center"/>
          </w:tcPr>
          <w:p>
            <w:pPr>
              <w:widowControl/>
              <w:spacing w:line="300" w:lineRule="exact"/>
              <w:jc w:val="left"/>
              <w:rPr>
                <w:rFonts w:ascii="仿宋" w:hAnsi="仿宋" w:eastAsia="仿宋"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033" w:hRule="atLeast"/>
          <w:jc w:val="center"/>
        </w:trPr>
        <w:tc>
          <w:tcPr>
            <w:tcW w:w="1643" w:type="dxa"/>
            <w:tcMar>
              <w:left w:w="28" w:type="dxa"/>
              <w:right w:w="28" w:type="dxa"/>
            </w:tcMar>
            <w:vAlign w:val="center"/>
          </w:tcPr>
          <w:p>
            <w:pPr>
              <w:widowControl/>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国际教育学院</w:t>
            </w:r>
          </w:p>
        </w:tc>
        <w:tc>
          <w:tcPr>
            <w:tcW w:w="1853" w:type="dxa"/>
            <w:tcMar>
              <w:left w:w="28" w:type="dxa"/>
              <w:right w:w="28" w:type="dxa"/>
            </w:tcMar>
            <w:vAlign w:val="center"/>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语言学及应用语言学</w:t>
            </w: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汉语言（对外）</w:t>
            </w: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商务汉语、经贸口语、汉语精读、汉语听说、汉语阅读</w:t>
            </w: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465" w:type="dxa"/>
            <w:tcMar>
              <w:left w:w="28" w:type="dxa"/>
              <w:right w:w="28"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2657" w:type="dxa"/>
            <w:tcMar>
              <w:left w:w="28" w:type="dxa"/>
              <w:right w:w="28" w:type="dxa"/>
            </w:tcMar>
            <w:vAlign w:val="center"/>
          </w:tcPr>
          <w:p>
            <w:pPr>
              <w:widowControl/>
              <w:spacing w:line="300" w:lineRule="exact"/>
              <w:jc w:val="center"/>
              <w:rPr>
                <w:rFonts w:ascii="仿宋" w:hAnsi="仿宋" w:eastAsia="仿宋" w:cs="宋体"/>
                <w:color w:val="000000"/>
                <w:kern w:val="0"/>
                <w:sz w:val="20"/>
                <w:szCs w:val="20"/>
              </w:rPr>
            </w:pPr>
            <w:r>
              <w:rPr>
                <w:rFonts w:hint="eastAsia" w:ascii="仿宋" w:hAnsi="仿宋" w:eastAsia="仿宋" w:cs="宋体"/>
                <w:color w:val="000000"/>
                <w:kern w:val="0"/>
                <w:sz w:val="20"/>
                <w:szCs w:val="20"/>
              </w:rPr>
              <w:t>刘老师：0553--3869335</w:t>
            </w:r>
          </w:p>
          <w:p>
            <w:pPr>
              <w:widowControl/>
              <w:spacing w:line="300" w:lineRule="exact"/>
              <w:jc w:val="center"/>
              <w:rPr>
                <w:rFonts w:ascii="宋体" w:hAnsi="宋体" w:eastAsia="宋体" w:cs="宋体"/>
                <w:color w:val="000000"/>
                <w:kern w:val="0"/>
                <w:sz w:val="24"/>
                <w:szCs w:val="24"/>
              </w:rPr>
            </w:pPr>
            <w:r>
              <w:rPr>
                <w:rFonts w:hint="eastAsia" w:ascii="仿宋" w:hAnsi="仿宋" w:eastAsia="仿宋" w:cs="宋体"/>
                <w:color w:val="000000"/>
                <w:kern w:val="0"/>
                <w:sz w:val="20"/>
                <w:szCs w:val="20"/>
              </w:rPr>
              <w:t>邮箱：kzxyldh118l@163.com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0" w:hRule="atLeast"/>
          <w:jc w:val="center"/>
        </w:trPr>
        <w:tc>
          <w:tcPr>
            <w:tcW w:w="1643" w:type="dxa"/>
            <w:tcMar>
              <w:left w:w="28" w:type="dxa"/>
              <w:right w:w="28" w:type="dxa"/>
            </w:tcMar>
            <w:vAlign w:val="center"/>
          </w:tcPr>
          <w:p>
            <w:pPr>
              <w:widowControl/>
              <w:jc w:val="left"/>
              <w:rPr>
                <w:rFonts w:ascii="仿宋" w:hAnsi="仿宋" w:eastAsia="仿宋" w:cs="宋体"/>
                <w:color w:val="000000"/>
                <w:kern w:val="0"/>
                <w:sz w:val="20"/>
                <w:szCs w:val="20"/>
              </w:rPr>
            </w:pPr>
            <w:r>
              <w:rPr>
                <w:rFonts w:hint="eastAsia" w:ascii="仿宋" w:hAnsi="仿宋" w:eastAsia="仿宋" w:cs="宋体"/>
                <w:color w:val="000000"/>
                <w:kern w:val="0"/>
                <w:sz w:val="20"/>
                <w:szCs w:val="20"/>
              </w:rPr>
              <w:t>总计</w:t>
            </w:r>
          </w:p>
        </w:tc>
        <w:tc>
          <w:tcPr>
            <w:tcW w:w="1853"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1490"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1618" w:type="dxa"/>
            <w:tcMar>
              <w:left w:w="28" w:type="dxa"/>
              <w:right w:w="28" w:type="dxa"/>
            </w:tcMar>
            <w:vAlign w:val="center"/>
          </w:tcPr>
          <w:p>
            <w:pPr>
              <w:widowControl/>
              <w:jc w:val="center"/>
              <w:rPr>
                <w:rFonts w:ascii="仿宋_GB2312" w:hAnsi="宋体" w:eastAsia="仿宋_GB2312" w:cs="宋体"/>
                <w:color w:val="000000"/>
                <w:kern w:val="0"/>
                <w:sz w:val="20"/>
                <w:szCs w:val="20"/>
              </w:rPr>
            </w:pPr>
          </w:p>
        </w:tc>
        <w:tc>
          <w:tcPr>
            <w:tcW w:w="3682" w:type="dxa"/>
            <w:tcMar>
              <w:left w:w="28" w:type="dxa"/>
              <w:right w:w="28" w:type="dxa"/>
            </w:tcMar>
            <w:vAlign w:val="center"/>
          </w:tcPr>
          <w:p>
            <w:pPr>
              <w:widowControl/>
              <w:jc w:val="left"/>
              <w:rPr>
                <w:rFonts w:ascii="仿宋_GB2312" w:hAnsi="宋体" w:eastAsia="仿宋_GB2312" w:cs="宋体"/>
                <w:color w:val="000000"/>
                <w:kern w:val="0"/>
                <w:sz w:val="20"/>
                <w:szCs w:val="20"/>
              </w:rPr>
            </w:pPr>
          </w:p>
        </w:tc>
        <w:tc>
          <w:tcPr>
            <w:tcW w:w="567"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32</w:t>
            </w:r>
          </w:p>
        </w:tc>
        <w:tc>
          <w:tcPr>
            <w:tcW w:w="709"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77</w:t>
            </w:r>
          </w:p>
        </w:tc>
        <w:tc>
          <w:tcPr>
            <w:tcW w:w="465" w:type="dxa"/>
            <w:tcMar>
              <w:left w:w="28" w:type="dxa"/>
              <w:right w:w="28" w:type="dxa"/>
            </w:tcMar>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109</w:t>
            </w:r>
          </w:p>
        </w:tc>
        <w:tc>
          <w:tcPr>
            <w:tcW w:w="2657" w:type="dxa"/>
            <w:tcMar>
              <w:left w:w="28" w:type="dxa"/>
              <w:right w:w="28" w:type="dxa"/>
            </w:tcMar>
            <w:vAlign w:val="center"/>
          </w:tcPr>
          <w:p>
            <w:pPr>
              <w:widowControl/>
              <w:jc w:val="center"/>
              <w:rPr>
                <w:rFonts w:ascii="仿宋_GB2312" w:hAnsi="宋体" w:eastAsia="仿宋_GB2312" w:cs="宋体"/>
                <w:color w:val="000000"/>
                <w:kern w:val="0"/>
                <w:sz w:val="20"/>
                <w:szCs w:val="20"/>
              </w:rPr>
            </w:pPr>
          </w:p>
        </w:tc>
      </w:tr>
    </w:tbl>
    <w:p/>
    <w:p>
      <w:pPr>
        <w:widowControl/>
        <w:jc w:val="left"/>
      </w:pPr>
    </w:p>
    <w:sectPr>
      <w:pgSz w:w="16838" w:h="11906" w:orient="landscape"/>
      <w:pgMar w:top="1304" w:right="1440" w:bottom="124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D1905"/>
    <w:rsid w:val="00424907"/>
    <w:rsid w:val="0054451E"/>
    <w:rsid w:val="00967F29"/>
    <w:rsid w:val="00A95789"/>
    <w:rsid w:val="00AD1905"/>
    <w:rsid w:val="00C17A38"/>
    <w:rsid w:val="00CD6F2B"/>
    <w:rsid w:val="00D31C25"/>
    <w:rsid w:val="0ED72C47"/>
    <w:rsid w:val="12805BBC"/>
    <w:rsid w:val="138206EE"/>
    <w:rsid w:val="19B96B56"/>
    <w:rsid w:val="1E812820"/>
    <w:rsid w:val="29CD085F"/>
    <w:rsid w:val="7C0D7B40"/>
    <w:rsid w:val="7CAD3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1021</Words>
  <Characters>5824</Characters>
  <Lines>48</Lines>
  <Paragraphs>13</Paragraphs>
  <TotalTime>19</TotalTime>
  <ScaleCrop>false</ScaleCrop>
  <LinksUpToDate>false</LinksUpToDate>
  <CharactersWithSpaces>6832</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2018-12-11T08:11:00Z</dcterms:created>
  <dc:creator>Users</dc:creator>
  <cp:lastModifiedBy>芮先红</cp:lastModifiedBy>
  <dcterms:modified xsi:type="dcterms:W3CDTF">2018-12-13T09:30:07Z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