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caps w:val="0"/>
          <w:color w:val="000000"/>
          <w:spacing w:val="0"/>
          <w:sz w:val="15"/>
          <w:szCs w:val="15"/>
        </w:rPr>
      </w:pPr>
      <w:r>
        <w:rPr>
          <w:rStyle w:val="4"/>
          <w:rFonts w:hint="eastAsia" w:ascii="微软雅黑" w:hAnsi="微软雅黑" w:eastAsia="微软雅黑" w:cs="微软雅黑"/>
          <w:b w:val="0"/>
          <w:i w:val="0"/>
          <w:caps w:val="0"/>
          <w:color w:val="000000"/>
          <w:spacing w:val="0"/>
          <w:sz w:val="20"/>
          <w:szCs w:val="20"/>
          <w:bdr w:val="none" w:color="auto" w:sz="0" w:space="0"/>
        </w:rPr>
        <w:t>招聘岗位</w:t>
      </w:r>
    </w:p>
    <w:tbl>
      <w:tblPr>
        <w:tblW w:w="9220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1418"/>
        <w:gridCol w:w="476"/>
        <w:gridCol w:w="668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  <w:tblCellSpacing w:w="0" w:type="dxa"/>
        </w:trPr>
        <w:tc>
          <w:tcPr>
            <w:tcW w:w="6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bookmarkStart w:id="0" w:name="_GoBack"/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序号</w:t>
            </w:r>
          </w:p>
        </w:tc>
        <w:tc>
          <w:tcPr>
            <w:tcW w:w="14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招聘岗位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人数</w:t>
            </w:r>
          </w:p>
        </w:tc>
        <w:tc>
          <w:tcPr>
            <w:tcW w:w="66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要</w:t>
            </w: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    </w:t>
            </w:r>
            <w:r>
              <w:rPr>
                <w:rStyle w:val="4"/>
                <w:rFonts w:hint="eastAsia" w:ascii="微软雅黑" w:hAnsi="微软雅黑" w:eastAsia="微软雅黑" w:cs="微软雅黑"/>
                <w:b w:val="0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0" w:hRule="atLeast"/>
          <w:tblCellSpacing w:w="0" w:type="dxa"/>
        </w:trPr>
        <w:tc>
          <w:tcPr>
            <w:tcW w:w="6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14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城市轨道交通运输与管理专业教师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6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日制本科及以上学历，城市轨道交通运输与管理等相关专业毕业，能胜任城市轨道交通AFC系统及票务管理、轨道交通通信与信号、城市轨道交通客运组织、城市轨道交通行车调度、城市轨道交通行车组织等理实一体化课程教学。具有教师资格证、班主任工作经验和教育教学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tblCellSpacing w:w="0" w:type="dxa"/>
        </w:trPr>
        <w:tc>
          <w:tcPr>
            <w:tcW w:w="6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14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会计专业教师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6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全日制本科及以上学历，会计相关专业毕业，能够胜任会计专业主干课程的教学工作。具有担任班主任工作能力。具有教师资格证、班主任工作经验和教育教学工作经历者优先。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5" w:hRule="atLeast"/>
          <w:tblCellSpacing w:w="0" w:type="dxa"/>
        </w:trPr>
        <w:tc>
          <w:tcPr>
            <w:tcW w:w="6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3</w:t>
            </w:r>
          </w:p>
        </w:tc>
        <w:tc>
          <w:tcPr>
            <w:tcW w:w="14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       数学教师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1</w:t>
            </w:r>
          </w:p>
        </w:tc>
        <w:tc>
          <w:tcPr>
            <w:tcW w:w="66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全日制本科及以上学历，数学专业毕业，能胜任数学课程教学。具有教师资格证、班主任工作经验和教育教学工作经历者优先。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0" w:hRule="atLeast"/>
          <w:tblCellSpacing w:w="0" w:type="dxa"/>
        </w:trPr>
        <w:tc>
          <w:tcPr>
            <w:tcW w:w="6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4</w:t>
            </w:r>
          </w:p>
        </w:tc>
        <w:tc>
          <w:tcPr>
            <w:tcW w:w="1418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体育教师</w:t>
            </w:r>
          </w:p>
        </w:tc>
        <w:tc>
          <w:tcPr>
            <w:tcW w:w="47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2</w:t>
            </w:r>
          </w:p>
        </w:tc>
        <w:tc>
          <w:tcPr>
            <w:tcW w:w="6682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i w:val="0"/>
                <w:caps w:val="0"/>
                <w:color w:val="000000"/>
                <w:spacing w:val="0"/>
                <w:sz w:val="20"/>
                <w:szCs w:val="20"/>
                <w:bdr w:val="none" w:color="auto" w:sz="0" w:space="0"/>
              </w:rPr>
              <w:t>全日制本科及以上学历，体育专业毕业，能胜任体育课程教学。具有教师资格证、班主任工作经验和教育教学工作经历者优先。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C92992"/>
    <w:rsid w:val="0EC929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2019-01-28T09:06:00Z</dcterms:created>
  <dc:creator>ASUS</dc:creator>
  <cp:lastModifiedBy>ASUS</cp:lastModifiedBy>
  <dcterms:modified xsi:type="dcterms:W3CDTF">2019-01-28T09:06:44Z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