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80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183"/>
        <w:gridCol w:w="1356"/>
        <w:gridCol w:w="1936"/>
        <w:gridCol w:w="1830"/>
        <w:gridCol w:w="16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87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人才类别</w:t>
            </w:r>
          </w:p>
        </w:tc>
        <w:tc>
          <w:tcPr>
            <w:tcW w:w="253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科研启动经费（万元）</w:t>
            </w:r>
          </w:p>
        </w:tc>
        <w:tc>
          <w:tcPr>
            <w:tcW w:w="193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薪资（万元／年）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购房补贴（万元，税后）</w:t>
            </w:r>
          </w:p>
        </w:tc>
        <w:tc>
          <w:tcPr>
            <w:tcW w:w="162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7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自然科学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人文社科</w:t>
            </w:r>
          </w:p>
        </w:tc>
        <w:tc>
          <w:tcPr>
            <w:tcW w:w="193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2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一类</w:t>
            </w:r>
          </w:p>
        </w:tc>
        <w:tc>
          <w:tcPr>
            <w:tcW w:w="7933" w:type="dxa"/>
            <w:gridSpan w:val="5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一人（团队）一议或一事一议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二类</w:t>
            </w:r>
          </w:p>
        </w:tc>
        <w:tc>
          <w:tcPr>
            <w:tcW w:w="7933" w:type="dxa"/>
            <w:gridSpan w:val="5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三类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200-300</w:t>
            </w:r>
          </w:p>
        </w:tc>
        <w:tc>
          <w:tcPr>
            <w:tcW w:w="135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60-150</w:t>
            </w:r>
          </w:p>
        </w:tc>
        <w:tc>
          <w:tcPr>
            <w:tcW w:w="19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60-80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36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200-260</w:t>
            </w:r>
          </w:p>
        </w:tc>
        <w:tc>
          <w:tcPr>
            <w:tcW w:w="16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配备助手，解决配偶调动，协助解决子女入学。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8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四类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50-100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30-50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40-50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100-120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协助解决配偶工作、子女入学。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8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五类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20-30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10-15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中级职称工资，副高级职称校内津贴，享受时间为3年。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40-50    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协助解决配偶工作、子女入学。医学及相关专业优秀博士购房补贴上浮20%。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B6B16"/>
    <w:rsid w:val="27CB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2019-02-26T10:25:00Z</dcterms:created>
  <dc:creator>Yan</dc:creator>
  <cp:lastModifiedBy>Yan</cp:lastModifiedBy>
  <dcterms:modified xsi:type="dcterms:W3CDTF">2019-02-26T10:25:46Z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