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0" w:afterAutospacing="0" w:line="500" w:lineRule="atLeast"/>
        <w:ind w:left="0" w:right="0"/>
        <w:jc w:val="left"/>
      </w:pPr>
      <w:r>
        <w:rPr>
          <w:rFonts w:hint="eastAsia" w:ascii="宋体" w:hAnsi="宋体" w:eastAsia="宋体" w:cs="宋体"/>
          <w:b/>
          <w:kern w:val="0"/>
          <w:sz w:val="32"/>
          <w:szCs w:val="32"/>
          <w:shd w:val="clear" w:fill="FFFFFF"/>
          <w:lang w:val="en-US" w:eastAsia="zh-CN" w:bidi="ar"/>
        </w:rPr>
        <w:t>宿州学院2019年专任教师招聘计划</w:t>
      </w:r>
    </w:p>
    <w:p>
      <w:pPr>
        <w:keepNext w:val="0"/>
        <w:keepLines w:val="0"/>
        <w:widowControl/>
        <w:suppressLineNumbers w:val="0"/>
        <w:spacing w:before="0" w:beforeAutospacing="0" w:after="0" w:afterAutospacing="0" w:line="440" w:lineRule="atLeast"/>
        <w:ind w:left="0" w:right="0"/>
        <w:jc w:val="left"/>
      </w:pPr>
      <w:r>
        <w:rPr>
          <w:rFonts w:hint="eastAsia" w:ascii="宋体" w:hAnsi="宋体" w:eastAsia="宋体" w:cs="宋体"/>
          <w:kern w:val="0"/>
          <w:sz w:val="28"/>
          <w:szCs w:val="28"/>
          <w:lang w:val="en-US" w:eastAsia="zh-CN" w:bidi="ar"/>
        </w:rPr>
        <w:t> </w:t>
      </w:r>
    </w:p>
    <w:tbl>
      <w:tblPr>
        <w:tblW w:w="13230" w:type="dxa"/>
        <w:jc w:val="center"/>
        <w:tblInd w:w="-2354" w:type="dxa"/>
        <w:shd w:val="clear"/>
        <w:tblLayout w:type="fixed"/>
        <w:tblCellMar>
          <w:top w:w="0" w:type="dxa"/>
          <w:left w:w="0" w:type="dxa"/>
          <w:bottom w:w="0" w:type="dxa"/>
          <w:right w:w="0" w:type="dxa"/>
        </w:tblCellMar>
      </w:tblPr>
      <w:tblGrid>
        <w:gridCol w:w="1022"/>
        <w:gridCol w:w="2112"/>
        <w:gridCol w:w="3291"/>
        <w:gridCol w:w="1601"/>
        <w:gridCol w:w="2202"/>
        <w:gridCol w:w="3002"/>
      </w:tblGrid>
      <w:tr>
        <w:tblPrEx>
          <w:shd w:val="clear"/>
          <w:tblLayout w:type="fixed"/>
          <w:tblCellMar>
            <w:top w:w="0" w:type="dxa"/>
            <w:left w:w="0" w:type="dxa"/>
            <w:bottom w:w="0" w:type="dxa"/>
            <w:right w:w="0" w:type="dxa"/>
          </w:tblCellMar>
        </w:tblPrEx>
        <w:trPr>
          <w:trHeight w:val="461" w:hRule="atLeast"/>
          <w:jc w:val="center"/>
        </w:trPr>
        <w:tc>
          <w:tcPr>
            <w:tcW w:w="102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序号</w:t>
            </w:r>
          </w:p>
        </w:tc>
        <w:tc>
          <w:tcPr>
            <w:tcW w:w="211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学院</w:t>
            </w:r>
          </w:p>
        </w:tc>
        <w:tc>
          <w:tcPr>
            <w:tcW w:w="329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需求学科、专业</w:t>
            </w:r>
          </w:p>
        </w:tc>
        <w:tc>
          <w:tcPr>
            <w:tcW w:w="160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需求人数</w:t>
            </w:r>
          </w:p>
        </w:tc>
        <w:tc>
          <w:tcPr>
            <w:tcW w:w="220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学历（学位）</w:t>
            </w:r>
          </w:p>
        </w:tc>
        <w:tc>
          <w:tcPr>
            <w:tcW w:w="300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岗位要求</w:t>
            </w:r>
          </w:p>
        </w:tc>
      </w:tr>
      <w:tr>
        <w:tblPrEx>
          <w:tblLayout w:type="fixed"/>
          <w:tblCellMar>
            <w:top w:w="0" w:type="dxa"/>
            <w:left w:w="0" w:type="dxa"/>
            <w:bottom w:w="0" w:type="dxa"/>
            <w:right w:w="0" w:type="dxa"/>
          </w:tblCellMar>
        </w:tblPrEx>
        <w:trPr>
          <w:trHeight w:val="369" w:hRule="atLeast"/>
          <w:jc w:val="center"/>
        </w:trPr>
        <w:tc>
          <w:tcPr>
            <w:tcW w:w="1022" w:type="dxa"/>
            <w:vMerge w:val="restart"/>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1</w:t>
            </w:r>
          </w:p>
        </w:tc>
        <w:tc>
          <w:tcPr>
            <w:tcW w:w="2112"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马克思主义学院</w:t>
            </w:r>
          </w:p>
        </w:tc>
        <w:tc>
          <w:tcPr>
            <w:tcW w:w="329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马克思主义基本原理</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kern w:val="0"/>
                <w:sz w:val="20"/>
                <w:szCs w:val="20"/>
                <w:lang w:val="en-US" w:eastAsia="zh-CN" w:bidi="ar"/>
              </w:rPr>
              <w:t>博士</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本硕博专业相同或相近</w:t>
            </w:r>
          </w:p>
        </w:tc>
      </w:tr>
      <w:tr>
        <w:tblPrEx>
          <w:tblLayout w:type="fixed"/>
          <w:tblCellMar>
            <w:top w:w="0" w:type="dxa"/>
            <w:left w:w="0" w:type="dxa"/>
            <w:bottom w:w="0" w:type="dxa"/>
            <w:right w:w="0" w:type="dxa"/>
          </w:tblCellMar>
        </w:tblPrEx>
        <w:trPr>
          <w:trHeight w:val="369"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kern w:val="0"/>
                <w:sz w:val="20"/>
                <w:szCs w:val="20"/>
                <w:lang w:val="en-US" w:eastAsia="zh-CN" w:bidi="ar"/>
              </w:rPr>
              <w:t>思想政治教育</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kern w:val="0"/>
                <w:sz w:val="20"/>
                <w:szCs w:val="20"/>
                <w:lang w:val="en-US" w:eastAsia="zh-CN" w:bidi="ar"/>
              </w:rPr>
              <w:t>1</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kern w:val="0"/>
                <w:sz w:val="20"/>
                <w:szCs w:val="20"/>
                <w:lang w:val="en-US" w:eastAsia="zh-CN" w:bidi="ar"/>
              </w:rPr>
              <w:t>博士</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kern w:val="0"/>
                <w:sz w:val="20"/>
                <w:szCs w:val="20"/>
                <w:lang w:val="en-US" w:eastAsia="zh-CN" w:bidi="ar"/>
              </w:rPr>
              <w:t>本硕博专业相同或相近</w:t>
            </w:r>
          </w:p>
        </w:tc>
      </w:tr>
      <w:tr>
        <w:tblPrEx>
          <w:tblLayout w:type="fixed"/>
          <w:tblCellMar>
            <w:top w:w="0" w:type="dxa"/>
            <w:left w:w="0" w:type="dxa"/>
            <w:bottom w:w="0" w:type="dxa"/>
            <w:right w:w="0" w:type="dxa"/>
          </w:tblCellMar>
        </w:tblPrEx>
        <w:trPr>
          <w:trHeight w:val="369"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kern w:val="0"/>
                <w:sz w:val="20"/>
                <w:szCs w:val="20"/>
                <w:lang w:val="en-US" w:eastAsia="zh-CN" w:bidi="ar"/>
              </w:rPr>
              <w:t>中国近现代史基本问题研究</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kern w:val="0"/>
                <w:sz w:val="20"/>
                <w:szCs w:val="20"/>
                <w:lang w:val="en-US" w:eastAsia="zh-CN" w:bidi="ar"/>
              </w:rPr>
              <w:t>1</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kern w:val="0"/>
                <w:sz w:val="20"/>
                <w:szCs w:val="20"/>
                <w:lang w:val="en-US" w:eastAsia="zh-CN" w:bidi="ar"/>
              </w:rPr>
              <w:t>博士</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kern w:val="0"/>
                <w:sz w:val="20"/>
                <w:szCs w:val="20"/>
                <w:lang w:val="en-US" w:eastAsia="zh-CN" w:bidi="ar"/>
              </w:rPr>
              <w:t>本硕博专业相同或相近</w:t>
            </w:r>
          </w:p>
        </w:tc>
      </w:tr>
      <w:tr>
        <w:tblPrEx>
          <w:tblLayout w:type="fixed"/>
          <w:tblCellMar>
            <w:top w:w="0" w:type="dxa"/>
            <w:left w:w="0" w:type="dxa"/>
            <w:bottom w:w="0" w:type="dxa"/>
            <w:right w:w="0" w:type="dxa"/>
          </w:tblCellMar>
        </w:tblPrEx>
        <w:trPr>
          <w:trHeight w:val="369"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马克思主义中国化研究</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博士</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本硕博专业相同或相近</w:t>
            </w:r>
          </w:p>
        </w:tc>
      </w:tr>
      <w:tr>
        <w:tblPrEx>
          <w:tblLayout w:type="fixed"/>
          <w:tblCellMar>
            <w:top w:w="0" w:type="dxa"/>
            <w:left w:w="0" w:type="dxa"/>
            <w:bottom w:w="0" w:type="dxa"/>
            <w:right w:w="0" w:type="dxa"/>
          </w:tblCellMar>
        </w:tblPrEx>
        <w:trPr>
          <w:trHeight w:val="738" w:hRule="atLeast"/>
          <w:jc w:val="center"/>
        </w:trPr>
        <w:tc>
          <w:tcPr>
            <w:tcW w:w="1022" w:type="dxa"/>
            <w:vMerge w:val="restart"/>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2</w:t>
            </w:r>
          </w:p>
        </w:tc>
        <w:tc>
          <w:tcPr>
            <w:tcW w:w="2112"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化学化工学院</w:t>
            </w: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化学工程、化学工艺</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2</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博士</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本科阶段为：化学工程与工艺专业，硕士及以上专业为：化学工艺、化学工程及相关专业。</w:t>
            </w:r>
          </w:p>
        </w:tc>
      </w:tr>
      <w:tr>
        <w:tblPrEx>
          <w:tblLayout w:type="fixed"/>
          <w:tblCellMar>
            <w:top w:w="0" w:type="dxa"/>
            <w:left w:w="0" w:type="dxa"/>
            <w:bottom w:w="0" w:type="dxa"/>
            <w:right w:w="0" w:type="dxa"/>
          </w:tblCellMar>
        </w:tblPrEx>
        <w:trPr>
          <w:trHeight w:val="384"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化学</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2</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博士</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kern w:val="0"/>
                <w:sz w:val="20"/>
                <w:szCs w:val="20"/>
                <w:lang w:val="en-US" w:eastAsia="zh-CN" w:bidi="ar"/>
              </w:rPr>
              <w:t>本硕博专业相同或相近</w:t>
            </w:r>
          </w:p>
        </w:tc>
      </w:tr>
      <w:tr>
        <w:tblPrEx>
          <w:tblLayout w:type="fixed"/>
          <w:tblCellMar>
            <w:top w:w="0" w:type="dxa"/>
            <w:left w:w="0" w:type="dxa"/>
            <w:bottom w:w="0" w:type="dxa"/>
            <w:right w:w="0" w:type="dxa"/>
          </w:tblCellMar>
        </w:tblPrEx>
        <w:trPr>
          <w:trHeight w:val="630"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材料学</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3</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博士</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本科阶段为：新能源材料与器件及材料学相关专业，硕士及以上专业为：材料类相关专业。</w:t>
            </w:r>
          </w:p>
        </w:tc>
      </w:tr>
      <w:tr>
        <w:tblPrEx>
          <w:tblLayout w:type="fixed"/>
          <w:tblCellMar>
            <w:top w:w="0" w:type="dxa"/>
            <w:left w:w="0" w:type="dxa"/>
            <w:bottom w:w="0" w:type="dxa"/>
            <w:right w:w="0" w:type="dxa"/>
          </w:tblCellMar>
        </w:tblPrEx>
        <w:trPr>
          <w:trHeight w:val="984" w:hRule="atLeast"/>
          <w:jc w:val="center"/>
        </w:trPr>
        <w:tc>
          <w:tcPr>
            <w:tcW w:w="1022" w:type="dxa"/>
            <w:vMerge w:val="restart"/>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3</w:t>
            </w:r>
          </w:p>
        </w:tc>
        <w:tc>
          <w:tcPr>
            <w:tcW w:w="2112"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环境与测绘工程学院</w:t>
            </w: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摄影测量与遥感</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3</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硕士及以上，博士或50岁以下教授1人</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本科为遥感科学与技术或地理信息科学（地理信息系统）或测绘工程专业，硕博为摄影测量与遥感或地图学与地理信息系统或地图制图学与地理信息工程专业</w:t>
            </w:r>
          </w:p>
        </w:tc>
      </w:tr>
      <w:tr>
        <w:tblPrEx>
          <w:tblLayout w:type="fixed"/>
          <w:tblCellMar>
            <w:top w:w="0" w:type="dxa"/>
            <w:left w:w="0" w:type="dxa"/>
            <w:bottom w:w="0" w:type="dxa"/>
            <w:right w:w="0" w:type="dxa"/>
          </w:tblCellMar>
        </w:tblPrEx>
        <w:trPr>
          <w:trHeight w:val="922"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大地测量学与测量工程</w:t>
            </w:r>
          </w:p>
        </w:tc>
        <w:tc>
          <w:tcPr>
            <w:tcW w:w="16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2</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硕士及以上，博士1人</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本科为测绘工程、遥感科学与技术、地理信息科学（地理信息系统）专业，硕博为大地测量学与测量工程。</w:t>
            </w:r>
          </w:p>
        </w:tc>
      </w:tr>
      <w:tr>
        <w:tblPrEx>
          <w:tblLayout w:type="fixed"/>
          <w:tblCellMar>
            <w:top w:w="0" w:type="dxa"/>
            <w:left w:w="0" w:type="dxa"/>
            <w:bottom w:w="0" w:type="dxa"/>
            <w:right w:w="0" w:type="dxa"/>
          </w:tblCellMar>
        </w:tblPrEx>
        <w:trPr>
          <w:trHeight w:val="907"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地图制图学与地理信息工程</w:t>
            </w:r>
          </w:p>
        </w:tc>
        <w:tc>
          <w:tcPr>
            <w:tcW w:w="16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博士</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本科为测绘工程、遥感科学与技术、地理信息科学（地理信息系统）专业，硕博为地图制图学与地理信息工程。</w:t>
            </w:r>
          </w:p>
        </w:tc>
      </w:tr>
      <w:tr>
        <w:tblPrEx>
          <w:tblLayout w:type="fixed"/>
          <w:tblCellMar>
            <w:top w:w="0" w:type="dxa"/>
            <w:left w:w="0" w:type="dxa"/>
            <w:bottom w:w="0" w:type="dxa"/>
            <w:right w:w="0" w:type="dxa"/>
          </w:tblCellMar>
        </w:tblPrEx>
        <w:trPr>
          <w:trHeight w:val="492"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课程与教学论（地理教育教学）</w:t>
            </w:r>
          </w:p>
        </w:tc>
        <w:tc>
          <w:tcPr>
            <w:tcW w:w="16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博士</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本科、硕士有地理科学专业背景</w:t>
            </w:r>
          </w:p>
        </w:tc>
      </w:tr>
      <w:tr>
        <w:tblPrEx>
          <w:tblLayout w:type="fixed"/>
          <w:tblCellMar>
            <w:top w:w="0" w:type="dxa"/>
            <w:left w:w="0" w:type="dxa"/>
            <w:bottom w:w="0" w:type="dxa"/>
            <w:right w:w="0" w:type="dxa"/>
          </w:tblCellMar>
        </w:tblPrEx>
        <w:trPr>
          <w:trHeight w:val="492"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人文地理学（城市与区域经济）</w:t>
            </w:r>
          </w:p>
        </w:tc>
        <w:tc>
          <w:tcPr>
            <w:tcW w:w="16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博士</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本科为地理科学专业，硕士、博士为人文地理专业</w:t>
            </w:r>
          </w:p>
        </w:tc>
      </w:tr>
      <w:tr>
        <w:tblPrEx>
          <w:tblLayout w:type="fixed"/>
          <w:tblCellMar>
            <w:top w:w="0" w:type="dxa"/>
            <w:left w:w="0" w:type="dxa"/>
            <w:bottom w:w="0" w:type="dxa"/>
            <w:right w:w="0" w:type="dxa"/>
          </w:tblCellMar>
        </w:tblPrEx>
        <w:trPr>
          <w:trHeight w:val="369"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kern w:val="0"/>
                <w:sz w:val="20"/>
                <w:szCs w:val="20"/>
                <w:lang w:val="en-US" w:eastAsia="zh-CN" w:bidi="ar"/>
              </w:rPr>
              <w:t>环境科学与工程</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kern w:val="0"/>
                <w:sz w:val="20"/>
                <w:szCs w:val="20"/>
                <w:lang w:val="en-US" w:eastAsia="zh-CN" w:bidi="ar"/>
              </w:rPr>
              <w:t>2</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kern w:val="0"/>
                <w:sz w:val="20"/>
                <w:szCs w:val="20"/>
                <w:lang w:val="en-US" w:eastAsia="zh-CN" w:bidi="ar"/>
              </w:rPr>
              <w:t>硕士及以上，博士1人</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kern w:val="0"/>
                <w:sz w:val="20"/>
                <w:szCs w:val="20"/>
                <w:lang w:val="en-US" w:eastAsia="zh-CN" w:bidi="ar"/>
              </w:rPr>
              <w:t>本科、硕士有环境科学或环境工程专业背景</w:t>
            </w:r>
          </w:p>
        </w:tc>
      </w:tr>
      <w:tr>
        <w:tblPrEx>
          <w:tblLayout w:type="fixed"/>
          <w:tblCellMar>
            <w:top w:w="0" w:type="dxa"/>
            <w:left w:w="0" w:type="dxa"/>
            <w:bottom w:w="0" w:type="dxa"/>
            <w:right w:w="0" w:type="dxa"/>
          </w:tblCellMar>
        </w:tblPrEx>
        <w:trPr>
          <w:trHeight w:val="369" w:hRule="atLeast"/>
          <w:jc w:val="center"/>
        </w:trPr>
        <w:tc>
          <w:tcPr>
            <w:tcW w:w="1022" w:type="dxa"/>
            <w:vMerge w:val="restart"/>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4</w:t>
            </w:r>
          </w:p>
        </w:tc>
        <w:tc>
          <w:tcPr>
            <w:tcW w:w="2112"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机械与电子工程学院</w:t>
            </w:r>
          </w:p>
        </w:tc>
        <w:tc>
          <w:tcPr>
            <w:tcW w:w="329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物理学、材料学</w:t>
            </w:r>
          </w:p>
        </w:tc>
        <w:tc>
          <w:tcPr>
            <w:tcW w:w="16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博士</w:t>
            </w:r>
          </w:p>
        </w:tc>
        <w:tc>
          <w:tcPr>
            <w:tcW w:w="30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具有较强的科研能力</w:t>
            </w:r>
          </w:p>
        </w:tc>
      </w:tr>
      <w:tr>
        <w:tblPrEx>
          <w:tblLayout w:type="fixed"/>
          <w:tblCellMar>
            <w:top w:w="0" w:type="dxa"/>
            <w:left w:w="0" w:type="dxa"/>
            <w:bottom w:w="0" w:type="dxa"/>
            <w:right w:w="0" w:type="dxa"/>
          </w:tblCellMar>
        </w:tblPrEx>
        <w:trPr>
          <w:trHeight w:val="815"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机械制造及其自动化、机械电子工程和机械设计及理论</w:t>
            </w:r>
          </w:p>
        </w:tc>
        <w:tc>
          <w:tcPr>
            <w:tcW w:w="16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博士</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本科及硕士专业相同或相近，有相关企业工作经历优先考虑</w:t>
            </w:r>
          </w:p>
        </w:tc>
      </w:tr>
      <w:tr>
        <w:tblPrEx>
          <w:tblLayout w:type="fixed"/>
          <w:tblCellMar>
            <w:top w:w="0" w:type="dxa"/>
            <w:left w:w="0" w:type="dxa"/>
            <w:bottom w:w="0" w:type="dxa"/>
            <w:right w:w="0" w:type="dxa"/>
          </w:tblCellMar>
        </w:tblPrEx>
        <w:trPr>
          <w:trHeight w:val="600"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物理电子学、 电路与系统和微电子学与固体电子学</w:t>
            </w:r>
          </w:p>
        </w:tc>
        <w:tc>
          <w:tcPr>
            <w:tcW w:w="16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本科及硕士专业相同或相近</w:t>
            </w:r>
          </w:p>
        </w:tc>
      </w:tr>
      <w:tr>
        <w:tblPrEx>
          <w:tblLayout w:type="fixed"/>
          <w:tblCellMar>
            <w:top w:w="0" w:type="dxa"/>
            <w:left w:w="0" w:type="dxa"/>
            <w:bottom w:w="0" w:type="dxa"/>
            <w:right w:w="0" w:type="dxa"/>
          </w:tblCellMar>
        </w:tblPrEx>
        <w:trPr>
          <w:trHeight w:val="415"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动力机械与工程</w:t>
            </w:r>
          </w:p>
        </w:tc>
        <w:tc>
          <w:tcPr>
            <w:tcW w:w="16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本科及硕士专业相同或相近</w:t>
            </w:r>
          </w:p>
        </w:tc>
      </w:tr>
      <w:tr>
        <w:tblPrEx>
          <w:tblLayout w:type="fixed"/>
          <w:tblCellMar>
            <w:top w:w="0" w:type="dxa"/>
            <w:left w:w="0" w:type="dxa"/>
            <w:bottom w:w="0" w:type="dxa"/>
            <w:right w:w="0" w:type="dxa"/>
          </w:tblCellMar>
        </w:tblPrEx>
        <w:trPr>
          <w:trHeight w:val="600"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控制理论与控制工程、 检测技术与自动化装置</w:t>
            </w:r>
          </w:p>
        </w:tc>
        <w:tc>
          <w:tcPr>
            <w:tcW w:w="16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博士</w:t>
            </w:r>
          </w:p>
        </w:tc>
        <w:tc>
          <w:tcPr>
            <w:tcW w:w="30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本科及硕士专业相同或相近</w:t>
            </w:r>
          </w:p>
        </w:tc>
      </w:tr>
      <w:tr>
        <w:tblPrEx>
          <w:tblLayout w:type="fixed"/>
          <w:tblCellMar>
            <w:top w:w="0" w:type="dxa"/>
            <w:left w:w="0" w:type="dxa"/>
            <w:bottom w:w="0" w:type="dxa"/>
            <w:right w:w="0" w:type="dxa"/>
          </w:tblCellMar>
        </w:tblPrEx>
        <w:trPr>
          <w:trHeight w:val="784" w:hRule="atLeast"/>
          <w:jc w:val="center"/>
        </w:trPr>
        <w:tc>
          <w:tcPr>
            <w:tcW w:w="1022" w:type="dxa"/>
            <w:vMerge w:val="restart"/>
            <w:tcBorders>
              <w:top w:val="nil"/>
              <w:left w:val="single" w:color="auto" w:sz="8" w:space="0"/>
              <w:bottom w:val="single" w:color="000000"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5</w:t>
            </w:r>
          </w:p>
        </w:tc>
        <w:tc>
          <w:tcPr>
            <w:tcW w:w="2112"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美术与设计学院</w:t>
            </w:r>
          </w:p>
        </w:tc>
        <w:tc>
          <w:tcPr>
            <w:tcW w:w="329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设计学（环境设计、产品设计）</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2</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室内设计方向1人、景观设计方向1人。具有企业实践经验优先。本硕专业相同或相近。</w:t>
            </w:r>
          </w:p>
        </w:tc>
      </w:tr>
      <w:tr>
        <w:tblPrEx>
          <w:tblLayout w:type="fixed"/>
          <w:tblCellMar>
            <w:top w:w="0" w:type="dxa"/>
            <w:left w:w="0" w:type="dxa"/>
            <w:bottom w:w="0" w:type="dxa"/>
            <w:right w:w="0" w:type="dxa"/>
          </w:tblCellMar>
        </w:tblPrEx>
        <w:trPr>
          <w:trHeight w:val="784" w:hRule="atLeast"/>
          <w:jc w:val="center"/>
        </w:trPr>
        <w:tc>
          <w:tcPr>
            <w:tcW w:w="1022" w:type="dxa"/>
            <w:vMerge w:val="continue"/>
            <w:tcBorders>
              <w:top w:val="nil"/>
              <w:left w:val="single" w:color="auto" w:sz="8" w:space="0"/>
              <w:bottom w:val="single" w:color="000000"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设计学（产品设计）</w:t>
            </w:r>
            <w:r>
              <w:rPr>
                <w:rFonts w:hint="eastAsia" w:ascii="宋体" w:hAnsi="宋体" w:eastAsia="宋体" w:cs="宋体"/>
                <w:b/>
                <w:color w:val="000000"/>
                <w:kern w:val="0"/>
                <w:sz w:val="20"/>
                <w:szCs w:val="20"/>
                <w:lang w:val="en-US" w:eastAsia="zh-CN" w:bidi="ar"/>
              </w:rPr>
              <w:t>（实验技术岗位）</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陶瓷艺术设计方向，硕士为学术型</w:t>
            </w:r>
            <w:r>
              <w:rPr>
                <w:rFonts w:hint="eastAsia" w:ascii="宋体" w:hAnsi="宋体" w:eastAsia="宋体" w:cs="宋体"/>
                <w:b/>
                <w:color w:val="000000"/>
                <w:kern w:val="0"/>
                <w:sz w:val="20"/>
                <w:szCs w:val="20"/>
                <w:lang w:val="en-US" w:eastAsia="zh-CN" w:bidi="ar"/>
              </w:rPr>
              <w:t>或者专业型</w:t>
            </w:r>
          </w:p>
        </w:tc>
      </w:tr>
      <w:tr>
        <w:tblPrEx>
          <w:tblLayout w:type="fixed"/>
          <w:tblCellMar>
            <w:top w:w="0" w:type="dxa"/>
            <w:left w:w="0" w:type="dxa"/>
            <w:bottom w:w="0" w:type="dxa"/>
            <w:right w:w="0" w:type="dxa"/>
          </w:tblCellMar>
        </w:tblPrEx>
        <w:trPr>
          <w:trHeight w:val="692" w:hRule="atLeast"/>
          <w:jc w:val="center"/>
        </w:trPr>
        <w:tc>
          <w:tcPr>
            <w:tcW w:w="1022" w:type="dxa"/>
            <w:vMerge w:val="continue"/>
            <w:tcBorders>
              <w:top w:val="nil"/>
              <w:left w:val="single" w:color="auto" w:sz="8" w:space="0"/>
              <w:bottom w:val="single" w:color="000000"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设计学（服装与服饰设计、服装设计与工程）</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3</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服装制版1人、服装工艺1人、服装CAD1人。具有企业实践经验优先。本硕专业相同或相近</w:t>
            </w:r>
          </w:p>
        </w:tc>
      </w:tr>
      <w:tr>
        <w:tblPrEx>
          <w:tblLayout w:type="fixed"/>
          <w:tblCellMar>
            <w:top w:w="0" w:type="dxa"/>
            <w:left w:w="0" w:type="dxa"/>
            <w:bottom w:w="0" w:type="dxa"/>
            <w:right w:w="0" w:type="dxa"/>
          </w:tblCellMar>
        </w:tblPrEx>
        <w:trPr>
          <w:trHeight w:val="430" w:hRule="atLeast"/>
          <w:jc w:val="center"/>
        </w:trPr>
        <w:tc>
          <w:tcPr>
            <w:tcW w:w="1022" w:type="dxa"/>
            <w:vMerge w:val="continue"/>
            <w:tcBorders>
              <w:top w:val="nil"/>
              <w:left w:val="single" w:color="auto" w:sz="8" w:space="0"/>
              <w:bottom w:val="single" w:color="000000"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书法学</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2</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中国书法家协会会员优先，本硕专业相同或相近</w:t>
            </w:r>
          </w:p>
        </w:tc>
      </w:tr>
      <w:tr>
        <w:tblPrEx>
          <w:tblLayout w:type="fixed"/>
          <w:tblCellMar>
            <w:top w:w="0" w:type="dxa"/>
            <w:left w:w="0" w:type="dxa"/>
            <w:bottom w:w="0" w:type="dxa"/>
            <w:right w:w="0" w:type="dxa"/>
          </w:tblCellMar>
        </w:tblPrEx>
        <w:trPr>
          <w:trHeight w:val="615" w:hRule="atLeast"/>
          <w:jc w:val="center"/>
        </w:trPr>
        <w:tc>
          <w:tcPr>
            <w:tcW w:w="1022" w:type="dxa"/>
            <w:vMerge w:val="restart"/>
            <w:tcBorders>
              <w:top w:val="nil"/>
              <w:left w:val="single" w:color="auto" w:sz="8" w:space="0"/>
              <w:bottom w:val="single" w:color="000000"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6</w:t>
            </w:r>
          </w:p>
        </w:tc>
        <w:tc>
          <w:tcPr>
            <w:tcW w:w="2112"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生物与食品工程学院</w:t>
            </w:r>
          </w:p>
        </w:tc>
        <w:tc>
          <w:tcPr>
            <w:tcW w:w="329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基础医学或临床医学（</w:t>
            </w:r>
            <w:r>
              <w:rPr>
                <w:rFonts w:hint="eastAsia" w:ascii="宋体" w:hAnsi="宋体" w:eastAsia="宋体" w:cs="宋体"/>
                <w:b/>
                <w:color w:val="000000"/>
                <w:kern w:val="0"/>
                <w:sz w:val="20"/>
                <w:szCs w:val="20"/>
                <w:lang w:val="en-US" w:eastAsia="zh-CN" w:bidi="ar"/>
              </w:rPr>
              <w:t>实验技术岗位</w:t>
            </w:r>
            <w:r>
              <w:rPr>
                <w:rFonts w:hint="eastAsia" w:ascii="宋体" w:hAnsi="宋体" w:eastAsia="宋体" w:cs="宋体"/>
                <w:b w:val="0"/>
                <w:color w:val="000000"/>
                <w:kern w:val="0"/>
                <w:sz w:val="20"/>
                <w:szCs w:val="20"/>
                <w:lang w:val="en-US" w:eastAsia="zh-CN" w:bidi="ar"/>
              </w:rPr>
              <w:t>）</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本科为医学类专业五年制，硕士为三年制学术型</w:t>
            </w:r>
            <w:r>
              <w:rPr>
                <w:rFonts w:hint="eastAsia" w:ascii="宋体" w:hAnsi="宋体" w:eastAsia="宋体" w:cs="宋体"/>
                <w:b/>
                <w:color w:val="000000"/>
                <w:kern w:val="0"/>
                <w:sz w:val="20"/>
                <w:szCs w:val="20"/>
                <w:lang w:val="en-US" w:eastAsia="zh-CN" w:bidi="ar"/>
              </w:rPr>
              <w:t>或者专业型</w:t>
            </w:r>
          </w:p>
        </w:tc>
      </w:tr>
      <w:tr>
        <w:tblPrEx>
          <w:tblLayout w:type="fixed"/>
          <w:tblCellMar>
            <w:top w:w="0" w:type="dxa"/>
            <w:left w:w="0" w:type="dxa"/>
            <w:bottom w:w="0" w:type="dxa"/>
            <w:right w:w="0" w:type="dxa"/>
          </w:tblCellMar>
        </w:tblPrEx>
        <w:trPr>
          <w:trHeight w:val="615" w:hRule="atLeast"/>
          <w:jc w:val="center"/>
        </w:trPr>
        <w:tc>
          <w:tcPr>
            <w:tcW w:w="1022" w:type="dxa"/>
            <w:vMerge w:val="continue"/>
            <w:tcBorders>
              <w:top w:val="nil"/>
              <w:left w:val="single" w:color="auto" w:sz="8" w:space="0"/>
              <w:bottom w:val="single" w:color="000000"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食品科学与工程、食品质量与安全</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本科及硕士专业相同或相近</w:t>
            </w:r>
          </w:p>
        </w:tc>
      </w:tr>
      <w:tr>
        <w:tblPrEx>
          <w:tblLayout w:type="fixed"/>
          <w:tblCellMar>
            <w:top w:w="0" w:type="dxa"/>
            <w:left w:w="0" w:type="dxa"/>
            <w:bottom w:w="0" w:type="dxa"/>
            <w:right w:w="0" w:type="dxa"/>
          </w:tblCellMar>
        </w:tblPrEx>
        <w:trPr>
          <w:trHeight w:val="477" w:hRule="atLeast"/>
          <w:jc w:val="center"/>
        </w:trPr>
        <w:tc>
          <w:tcPr>
            <w:tcW w:w="1022" w:type="dxa"/>
            <w:vMerge w:val="continue"/>
            <w:tcBorders>
              <w:top w:val="nil"/>
              <w:left w:val="single" w:color="auto" w:sz="8" w:space="0"/>
              <w:bottom w:val="single" w:color="000000"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药学</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本科为药学或中药学，硕士及以上为药学相关专业</w:t>
            </w:r>
          </w:p>
        </w:tc>
      </w:tr>
      <w:tr>
        <w:tblPrEx>
          <w:tblLayout w:type="fixed"/>
          <w:tblCellMar>
            <w:top w:w="0" w:type="dxa"/>
            <w:left w:w="0" w:type="dxa"/>
            <w:bottom w:w="0" w:type="dxa"/>
            <w:right w:w="0" w:type="dxa"/>
          </w:tblCellMar>
        </w:tblPrEx>
        <w:trPr>
          <w:trHeight w:val="412" w:hRule="atLeast"/>
          <w:jc w:val="center"/>
        </w:trPr>
        <w:tc>
          <w:tcPr>
            <w:tcW w:w="1022" w:type="dxa"/>
            <w:vMerge w:val="restart"/>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7</w:t>
            </w:r>
          </w:p>
        </w:tc>
        <w:tc>
          <w:tcPr>
            <w:tcW w:w="2112"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数学与统计学院</w:t>
            </w: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金融学、数量经济学</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2</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本硕专业相同或相近</w:t>
            </w:r>
          </w:p>
        </w:tc>
      </w:tr>
      <w:tr>
        <w:tblPrEx>
          <w:tblLayout w:type="fixed"/>
          <w:tblCellMar>
            <w:top w:w="0" w:type="dxa"/>
            <w:left w:w="0" w:type="dxa"/>
            <w:bottom w:w="0" w:type="dxa"/>
            <w:right w:w="0" w:type="dxa"/>
          </w:tblCellMar>
        </w:tblPrEx>
        <w:trPr>
          <w:trHeight w:val="412"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应用经济学（统计学）</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2</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本硕专业相同或相近</w:t>
            </w:r>
          </w:p>
        </w:tc>
      </w:tr>
      <w:tr>
        <w:tblPrEx>
          <w:tblLayout w:type="fixed"/>
          <w:tblCellMar>
            <w:top w:w="0" w:type="dxa"/>
            <w:left w:w="0" w:type="dxa"/>
            <w:bottom w:w="0" w:type="dxa"/>
            <w:right w:w="0" w:type="dxa"/>
          </w:tblCellMar>
        </w:tblPrEx>
        <w:trPr>
          <w:trHeight w:val="412"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统计学（理学）</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本硕专业相同或相近</w:t>
            </w:r>
          </w:p>
        </w:tc>
      </w:tr>
      <w:tr>
        <w:tblPrEx>
          <w:tblLayout w:type="fixed"/>
          <w:tblCellMar>
            <w:top w:w="0" w:type="dxa"/>
            <w:left w:w="0" w:type="dxa"/>
            <w:bottom w:w="0" w:type="dxa"/>
            <w:right w:w="0" w:type="dxa"/>
          </w:tblCellMar>
        </w:tblPrEx>
        <w:trPr>
          <w:trHeight w:val="661"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应用数学、概率论与数理统计</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2</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博士</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本硕博专业相同或相近</w:t>
            </w:r>
          </w:p>
        </w:tc>
      </w:tr>
      <w:tr>
        <w:tblPrEx>
          <w:tblLayout w:type="fixed"/>
          <w:tblCellMar>
            <w:top w:w="0" w:type="dxa"/>
            <w:left w:w="0" w:type="dxa"/>
            <w:bottom w:w="0" w:type="dxa"/>
            <w:right w:w="0" w:type="dxa"/>
          </w:tblCellMar>
        </w:tblPrEx>
        <w:trPr>
          <w:trHeight w:val="412"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基础数学、计算数学</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2</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博士</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本硕博专业相同或相近</w:t>
            </w:r>
          </w:p>
        </w:tc>
      </w:tr>
      <w:tr>
        <w:tblPrEx>
          <w:tblLayout w:type="fixed"/>
          <w:tblCellMar>
            <w:top w:w="0" w:type="dxa"/>
            <w:left w:w="0" w:type="dxa"/>
            <w:bottom w:w="0" w:type="dxa"/>
            <w:right w:w="0" w:type="dxa"/>
          </w:tblCellMar>
        </w:tblPrEx>
        <w:trPr>
          <w:trHeight w:val="553" w:hRule="atLeast"/>
          <w:jc w:val="center"/>
        </w:trPr>
        <w:tc>
          <w:tcPr>
            <w:tcW w:w="1022"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8</w:t>
            </w:r>
          </w:p>
        </w:tc>
        <w:tc>
          <w:tcPr>
            <w:tcW w:w="211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文学与传媒学院</w:t>
            </w: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传播学（网络与新媒体方向）</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网络与新媒体方向</w:t>
            </w:r>
          </w:p>
        </w:tc>
      </w:tr>
      <w:tr>
        <w:tblPrEx>
          <w:tblLayout w:type="fixed"/>
          <w:tblCellMar>
            <w:top w:w="0" w:type="dxa"/>
            <w:left w:w="0" w:type="dxa"/>
            <w:bottom w:w="0" w:type="dxa"/>
            <w:right w:w="0" w:type="dxa"/>
          </w:tblCellMar>
        </w:tblPrEx>
        <w:trPr>
          <w:trHeight w:val="538" w:hRule="atLeast"/>
          <w:jc w:val="center"/>
        </w:trPr>
        <w:tc>
          <w:tcPr>
            <w:tcW w:w="1022" w:type="dxa"/>
            <w:vMerge w:val="restart"/>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9</w:t>
            </w:r>
          </w:p>
        </w:tc>
        <w:tc>
          <w:tcPr>
            <w:tcW w:w="2112"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信息工程学院</w:t>
            </w:r>
          </w:p>
        </w:tc>
        <w:tc>
          <w:tcPr>
            <w:tcW w:w="329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计算机应用技术</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数据挖掘、人工智能方向</w:t>
            </w:r>
          </w:p>
        </w:tc>
      </w:tr>
      <w:tr>
        <w:tblPrEx>
          <w:tblLayout w:type="fixed"/>
          <w:tblCellMar>
            <w:top w:w="0" w:type="dxa"/>
            <w:left w:w="0" w:type="dxa"/>
            <w:bottom w:w="0" w:type="dxa"/>
            <w:right w:w="0" w:type="dxa"/>
          </w:tblCellMar>
        </w:tblPrEx>
        <w:trPr>
          <w:trHeight w:val="646"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计算机科学与技术</w:t>
            </w:r>
          </w:p>
        </w:tc>
        <w:tc>
          <w:tcPr>
            <w:tcW w:w="16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云计算管理方向。本科为计算机科学与技术、网络工程、软件工程等相关专业</w:t>
            </w:r>
          </w:p>
        </w:tc>
      </w:tr>
      <w:tr>
        <w:tblPrEx>
          <w:tblLayout w:type="fixed"/>
          <w:tblCellMar>
            <w:top w:w="0" w:type="dxa"/>
            <w:left w:w="0" w:type="dxa"/>
            <w:bottom w:w="0" w:type="dxa"/>
            <w:right w:w="0" w:type="dxa"/>
          </w:tblCellMar>
        </w:tblPrEx>
        <w:trPr>
          <w:trHeight w:val="707"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计算机科学与技术</w:t>
            </w:r>
          </w:p>
        </w:tc>
        <w:tc>
          <w:tcPr>
            <w:tcW w:w="16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2</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农业信息化方向。本科为计算机科学与技术、网络工程、软件工程、物联网工程等相关专业</w:t>
            </w:r>
          </w:p>
        </w:tc>
      </w:tr>
      <w:tr>
        <w:tblPrEx>
          <w:tblLayout w:type="fixed"/>
          <w:tblCellMar>
            <w:top w:w="0" w:type="dxa"/>
            <w:left w:w="0" w:type="dxa"/>
            <w:bottom w:w="0" w:type="dxa"/>
            <w:right w:w="0" w:type="dxa"/>
          </w:tblCellMar>
        </w:tblPrEx>
        <w:trPr>
          <w:trHeight w:val="646"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计算机科学与技术</w:t>
            </w:r>
          </w:p>
        </w:tc>
        <w:tc>
          <w:tcPr>
            <w:tcW w:w="16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2</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硕士及以上，博士1人</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人工智能方向。本科为计算机科学与技术、网络工程、软件工程、物联网工程等相关专业</w:t>
            </w:r>
          </w:p>
        </w:tc>
      </w:tr>
      <w:tr>
        <w:tblPrEx>
          <w:tblLayout w:type="fixed"/>
          <w:tblCellMar>
            <w:top w:w="0" w:type="dxa"/>
            <w:left w:w="0" w:type="dxa"/>
            <w:bottom w:w="0" w:type="dxa"/>
            <w:right w:w="0" w:type="dxa"/>
          </w:tblCellMar>
        </w:tblPrEx>
        <w:trPr>
          <w:trHeight w:val="1107" w:hRule="atLeast"/>
          <w:jc w:val="center"/>
        </w:trPr>
        <w:tc>
          <w:tcPr>
            <w:tcW w:w="1022" w:type="dxa"/>
            <w:vMerge w:val="restart"/>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10</w:t>
            </w:r>
          </w:p>
        </w:tc>
        <w:tc>
          <w:tcPr>
            <w:tcW w:w="2112"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资源与土木工程学院</w:t>
            </w: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交通运输工程（道路与铁道工程、交通信息工程及控制、交通运输规划与管理等方向）</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本、硕、博专业相同或相近</w:t>
            </w:r>
          </w:p>
        </w:tc>
      </w:tr>
      <w:tr>
        <w:tblPrEx>
          <w:tblLayout w:type="fixed"/>
          <w:tblCellMar>
            <w:top w:w="0" w:type="dxa"/>
            <w:left w:w="0" w:type="dxa"/>
            <w:bottom w:w="0" w:type="dxa"/>
            <w:right w:w="0" w:type="dxa"/>
          </w:tblCellMar>
        </w:tblPrEx>
        <w:trPr>
          <w:trHeight w:val="507"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水利工程</w:t>
            </w:r>
          </w:p>
        </w:tc>
        <w:tc>
          <w:tcPr>
            <w:tcW w:w="16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2</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硕士1人，博士1人</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本、硕、博专业相同或相近</w:t>
            </w:r>
          </w:p>
        </w:tc>
      </w:tr>
      <w:tr>
        <w:tblPrEx>
          <w:tblLayout w:type="fixed"/>
          <w:tblCellMar>
            <w:top w:w="0" w:type="dxa"/>
            <w:left w:w="0" w:type="dxa"/>
            <w:bottom w:w="0" w:type="dxa"/>
            <w:right w:w="0" w:type="dxa"/>
          </w:tblCellMar>
        </w:tblPrEx>
        <w:trPr>
          <w:trHeight w:val="676" w:hRule="atLeast"/>
          <w:jc w:val="center"/>
        </w:trPr>
        <w:tc>
          <w:tcPr>
            <w:tcW w:w="1022" w:type="dxa"/>
            <w:vMerge w:val="restart"/>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11</w:t>
            </w:r>
          </w:p>
        </w:tc>
        <w:tc>
          <w:tcPr>
            <w:tcW w:w="2112"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商学院</w:t>
            </w: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企业管理（财务管理、审计学）</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2</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本科为会计学、财务管理和审计学专业，硕士专业相同或相近</w:t>
            </w:r>
          </w:p>
        </w:tc>
      </w:tr>
      <w:tr>
        <w:tblPrEx>
          <w:tblLayout w:type="fixed"/>
          <w:tblCellMar>
            <w:top w:w="0" w:type="dxa"/>
            <w:left w:w="0" w:type="dxa"/>
            <w:bottom w:w="0" w:type="dxa"/>
            <w:right w:w="0" w:type="dxa"/>
          </w:tblCellMar>
        </w:tblPrEx>
        <w:trPr>
          <w:trHeight w:val="676"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管理科学与工程</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本科为电子商务或计算机相关专业，硕士专业相同或相近</w:t>
            </w:r>
          </w:p>
        </w:tc>
      </w:tr>
      <w:tr>
        <w:tblPrEx>
          <w:tblLayout w:type="fixed"/>
          <w:tblCellMar>
            <w:top w:w="0" w:type="dxa"/>
            <w:left w:w="0" w:type="dxa"/>
            <w:bottom w:w="0" w:type="dxa"/>
            <w:right w:w="0" w:type="dxa"/>
          </w:tblCellMar>
        </w:tblPrEx>
        <w:trPr>
          <w:trHeight w:val="511"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经管类</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本硕专业相同或相近</w:t>
            </w:r>
          </w:p>
        </w:tc>
      </w:tr>
      <w:tr>
        <w:tblPrEx>
          <w:tblLayout w:type="fixed"/>
          <w:tblCellMar>
            <w:top w:w="0" w:type="dxa"/>
            <w:left w:w="0" w:type="dxa"/>
            <w:bottom w:w="0" w:type="dxa"/>
            <w:right w:w="0" w:type="dxa"/>
          </w:tblCellMar>
        </w:tblPrEx>
        <w:trPr>
          <w:trHeight w:val="511" w:hRule="atLeast"/>
          <w:jc w:val="center"/>
        </w:trPr>
        <w:tc>
          <w:tcPr>
            <w:tcW w:w="1022"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企业管理（市场营销）</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本科为经管类专业，硕士专业为市场营销方向</w:t>
            </w:r>
          </w:p>
        </w:tc>
      </w:tr>
      <w:tr>
        <w:tblPrEx>
          <w:tblLayout w:type="fixed"/>
          <w:tblCellMar>
            <w:top w:w="0" w:type="dxa"/>
            <w:left w:w="0" w:type="dxa"/>
            <w:bottom w:w="0" w:type="dxa"/>
            <w:right w:w="0" w:type="dxa"/>
          </w:tblCellMar>
        </w:tblPrEx>
        <w:trPr>
          <w:trHeight w:val="719" w:hRule="atLeast"/>
          <w:jc w:val="center"/>
        </w:trPr>
        <w:tc>
          <w:tcPr>
            <w:tcW w:w="1022" w:type="dxa"/>
            <w:vMerge w:val="restart"/>
            <w:tcBorders>
              <w:top w:val="nil"/>
              <w:left w:val="single" w:color="auto" w:sz="8" w:space="0"/>
              <w:bottom w:val="single" w:color="000000"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12</w:t>
            </w:r>
          </w:p>
        </w:tc>
        <w:tc>
          <w:tcPr>
            <w:tcW w:w="2112"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color w:val="000000"/>
                <w:kern w:val="0"/>
                <w:sz w:val="20"/>
                <w:szCs w:val="20"/>
                <w:lang w:val="en-US" w:eastAsia="zh-CN" w:bidi="ar"/>
              </w:rPr>
              <w:t>管理学院</w:t>
            </w: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企业管理（人力资源管理、市场营销）</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硕士及以上（博士优先）</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本科为人力资源管理、市场营销或相近专业</w:t>
            </w:r>
          </w:p>
        </w:tc>
      </w:tr>
      <w:tr>
        <w:tblPrEx>
          <w:tblLayout w:type="fixed"/>
          <w:tblCellMar>
            <w:top w:w="0" w:type="dxa"/>
            <w:left w:w="0" w:type="dxa"/>
            <w:bottom w:w="0" w:type="dxa"/>
            <w:right w:w="0" w:type="dxa"/>
          </w:tblCellMar>
        </w:tblPrEx>
        <w:trPr>
          <w:trHeight w:val="719" w:hRule="atLeast"/>
          <w:jc w:val="center"/>
        </w:trPr>
        <w:tc>
          <w:tcPr>
            <w:tcW w:w="1022" w:type="dxa"/>
            <w:vMerge w:val="continue"/>
            <w:tcBorders>
              <w:top w:val="nil"/>
              <w:left w:val="single" w:color="auto" w:sz="8" w:space="0"/>
              <w:bottom w:val="single" w:color="000000"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旅游管理（旅游规划、智慧旅游、酒店管理方向）</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硕士及以上（博士优先）</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本科为旅游管理专业</w:t>
            </w:r>
          </w:p>
        </w:tc>
      </w:tr>
      <w:tr>
        <w:tblPrEx>
          <w:tblLayout w:type="fixed"/>
          <w:tblCellMar>
            <w:top w:w="0" w:type="dxa"/>
            <w:left w:w="0" w:type="dxa"/>
            <w:bottom w:w="0" w:type="dxa"/>
            <w:right w:w="0" w:type="dxa"/>
          </w:tblCellMar>
        </w:tblPrEx>
        <w:trPr>
          <w:trHeight w:val="511" w:hRule="atLeast"/>
          <w:jc w:val="center"/>
        </w:trPr>
        <w:tc>
          <w:tcPr>
            <w:tcW w:w="1022" w:type="dxa"/>
            <w:vMerge w:val="continue"/>
            <w:tcBorders>
              <w:top w:val="nil"/>
              <w:left w:val="single" w:color="auto" w:sz="8" w:space="0"/>
              <w:bottom w:val="single" w:color="000000"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工程管理</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硕士及以上（博士优先）</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本科为工程管理或土木工程专业</w:t>
            </w:r>
          </w:p>
        </w:tc>
      </w:tr>
      <w:tr>
        <w:tblPrEx>
          <w:tblLayout w:type="fixed"/>
          <w:tblCellMar>
            <w:top w:w="0" w:type="dxa"/>
            <w:left w:w="0" w:type="dxa"/>
            <w:bottom w:w="0" w:type="dxa"/>
            <w:right w:w="0" w:type="dxa"/>
          </w:tblCellMar>
        </w:tblPrEx>
        <w:trPr>
          <w:trHeight w:val="511" w:hRule="atLeast"/>
          <w:jc w:val="center"/>
        </w:trPr>
        <w:tc>
          <w:tcPr>
            <w:tcW w:w="1022" w:type="dxa"/>
            <w:vMerge w:val="continue"/>
            <w:tcBorders>
              <w:top w:val="nil"/>
              <w:left w:val="single" w:color="auto" w:sz="8" w:space="0"/>
              <w:bottom w:val="single" w:color="000000" w:sz="8" w:space="0"/>
              <w:right w:val="single" w:color="auto" w:sz="8" w:space="0"/>
            </w:tcBorders>
            <w:shd w:val="clear"/>
            <w:noWrap/>
            <w:tcMar>
              <w:left w:w="108" w:type="dxa"/>
              <w:right w:w="108" w:type="dxa"/>
            </w:tcMar>
            <w:vAlign w:val="center"/>
          </w:tcPr>
          <w:p>
            <w:pPr>
              <w:rPr>
                <w:rFonts w:hint="eastAsia" w:ascii="宋体" w:hAnsi="宋体" w:eastAsia="宋体" w:cs="宋体"/>
                <w:b w:val="0"/>
                <w:sz w:val="20"/>
                <w:szCs w:val="20"/>
              </w:rPr>
            </w:pPr>
          </w:p>
        </w:tc>
        <w:tc>
          <w:tcPr>
            <w:tcW w:w="2112"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hAnsi="宋体" w:eastAsia="宋体" w:cs="宋体"/>
                <w:b w:val="0"/>
                <w:sz w:val="20"/>
                <w:szCs w:val="20"/>
              </w:rPr>
            </w:pP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建筑学（城市规划与设计）</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val="0"/>
                <w:color w:val="000000"/>
                <w:kern w:val="0"/>
                <w:sz w:val="20"/>
                <w:szCs w:val="20"/>
                <w:lang w:val="en-US" w:eastAsia="zh-CN" w:bidi="ar"/>
              </w:rPr>
              <w:t>1</w:t>
            </w:r>
          </w:p>
        </w:tc>
        <w:tc>
          <w:tcPr>
            <w:tcW w:w="22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硕士及以上（博士优先）</w:t>
            </w:r>
          </w:p>
        </w:tc>
        <w:tc>
          <w:tcPr>
            <w:tcW w:w="30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left"/>
            </w:pPr>
            <w:r>
              <w:rPr>
                <w:rFonts w:hint="eastAsia" w:ascii="宋体" w:hAnsi="宋体" w:eastAsia="宋体" w:cs="宋体"/>
                <w:b w:val="0"/>
                <w:color w:val="000000"/>
                <w:kern w:val="0"/>
                <w:sz w:val="20"/>
                <w:szCs w:val="20"/>
                <w:lang w:val="en-US" w:eastAsia="zh-CN" w:bidi="ar"/>
              </w:rPr>
              <w:t>本硕专业相近</w:t>
            </w:r>
          </w:p>
        </w:tc>
      </w:tr>
      <w:tr>
        <w:tblPrEx>
          <w:tblLayout w:type="fixed"/>
          <w:tblCellMar>
            <w:top w:w="0" w:type="dxa"/>
            <w:left w:w="0" w:type="dxa"/>
            <w:bottom w:w="0" w:type="dxa"/>
            <w:right w:w="0" w:type="dxa"/>
          </w:tblCellMar>
        </w:tblPrEx>
        <w:trPr>
          <w:trHeight w:val="646" w:hRule="atLeast"/>
          <w:jc w:val="center"/>
        </w:trPr>
        <w:tc>
          <w:tcPr>
            <w:tcW w:w="6425" w:type="dxa"/>
            <w:gridSpan w:val="3"/>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i w:val="0"/>
                <w:caps w:val="0"/>
                <w:color w:val="000000"/>
                <w:spacing w:val="0"/>
                <w:kern w:val="0"/>
                <w:sz w:val="20"/>
                <w:szCs w:val="20"/>
                <w:lang w:val="en-US" w:eastAsia="zh-CN" w:bidi="ar"/>
              </w:rPr>
              <w:t>合计</w:t>
            </w:r>
          </w:p>
        </w:tc>
        <w:tc>
          <w:tcPr>
            <w:tcW w:w="1601"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spacing w:before="0" w:beforeAutospacing="0" w:after="0" w:afterAutospacing="0" w:line="300" w:lineRule="atLeast"/>
              <w:ind w:left="0" w:right="0"/>
              <w:jc w:val="center"/>
            </w:pPr>
            <w:r>
              <w:rPr>
                <w:rFonts w:hint="eastAsia" w:ascii="宋体" w:hAnsi="宋体" w:eastAsia="宋体" w:cs="宋体"/>
                <w:b/>
                <w:i w:val="0"/>
                <w:caps w:val="0"/>
                <w:color w:val="000000"/>
                <w:spacing w:val="0"/>
                <w:kern w:val="0"/>
                <w:sz w:val="20"/>
                <w:szCs w:val="20"/>
                <w:lang w:val="en-US" w:eastAsia="zh-CN" w:bidi="ar"/>
              </w:rPr>
              <w:t>65</w:t>
            </w:r>
          </w:p>
        </w:tc>
        <w:tc>
          <w:tcPr>
            <w:tcW w:w="2202" w:type="dxa"/>
            <w:tcBorders>
              <w:top w:val="nil"/>
              <w:left w:val="nil"/>
              <w:bottom w:val="single" w:color="auto" w:sz="8" w:space="0"/>
              <w:right w:val="single" w:color="auto" w:sz="8" w:space="0"/>
            </w:tcBorders>
            <w:shd w:val="clear"/>
            <w:noWrap/>
            <w:tcMar>
              <w:left w:w="108" w:type="dxa"/>
              <w:right w:w="108" w:type="dxa"/>
            </w:tcMar>
            <w:vAlign w:val="center"/>
          </w:tcPr>
          <w:p>
            <w:pPr>
              <w:rPr>
                <w:rFonts w:hint="eastAsia" w:ascii="宋体" w:hAnsi="宋体" w:eastAsia="宋体" w:cs="宋体"/>
                <w:b w:val="0"/>
                <w:i w:val="0"/>
                <w:caps w:val="0"/>
                <w:color w:val="000000"/>
                <w:spacing w:val="0"/>
                <w:sz w:val="20"/>
                <w:szCs w:val="20"/>
              </w:rPr>
            </w:pPr>
          </w:p>
        </w:tc>
        <w:tc>
          <w:tcPr>
            <w:tcW w:w="3002" w:type="dxa"/>
            <w:shd w:val="clear"/>
            <w:vAlign w:val="center"/>
          </w:tcPr>
          <w:p>
            <w:pPr>
              <w:rPr>
                <w:rFonts w:hint="eastAsia" w:ascii="宋体"/>
                <w:sz w:val="24"/>
                <w:szCs w:val="24"/>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466BC2"/>
    <w:rsid w:val="48466B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2019-04-13T03:52:00Z</dcterms:created>
  <dc:creator>Yan</dc:creator>
  <cp:lastModifiedBy>Yan</cp:lastModifiedBy>
  <dcterms:modified xsi:type="dcterms:W3CDTF">2019-04-13T03:53:00Z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