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AFFF0"/>
          <w:lang w:val="en-US" w:eastAsia="zh-CN" w:bidi="ar"/>
        </w:rPr>
        <w:t>人才类别界定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500" w:lineRule="atLeast"/>
        <w:ind w:left="0" w:right="0" w:firstLine="56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一类人才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：中国科学院院士、中国工程院院士；外籍院士；国家实验室、国家重点（工程）实验室、国家工程（技术）研究中心等研发平台首席科学家或负责人；国家重点研发计划和科技重大专项首席科学家或专家组负责人；近5年国家最高科学技术、自然科学、技术发明、科技进步、国际科技合作一等奖获得者（第一完成人）。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500" w:lineRule="atLeast"/>
        <w:ind w:left="0" w:right="0" w:firstLine="56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二类人才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：全国杰出专业技术人才；中国青年科学家奖获得者；国家级教学名师；国家杰出青年科学基金项目获得者；科技部“创新人才推进计划”等省级人才计划、中宣部文化名家工程既“四个一批”工程入选者；国家级教学成果特等奖主要完成人（前3名）；近5年国家最高科学技术、自然科学、技术发明、科技进步、国际科技合作主要完成人（一等奖第二、三完成人，二等奖第一、二完成人）。</w:t>
      </w:r>
    </w:p>
    <w:p>
      <w:pPr>
        <w:keepNext w:val="0"/>
        <w:keepLines w:val="0"/>
        <w:widowControl/>
        <w:suppressLineNumbers w:val="0"/>
        <w:shd w:val="clear" w:fill="FAFFF0"/>
        <w:spacing w:before="0" w:beforeAutospacing="0" w:after="0" w:afterAutospacing="0" w:line="500" w:lineRule="atLeast"/>
        <w:ind w:left="0" w:right="0" w:firstLine="56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三类人才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AFFF0"/>
          <w:lang w:val="en-US" w:eastAsia="zh-CN" w:bidi="ar"/>
        </w:rPr>
        <w:t>：国家“百千人”人才工程国家级人选、国家有突出贡献的中青年专家；国家优秀青年科学基金获得者；教育部新世纪优秀人才支持计划获得者；省部级重大科研项目（研发平台）负责人；省学术技术带头人；享受国务院特殊津贴专家；国家级教学成果奖（一等奖前2名、二等奖第1名）；近5年省部级自然科学、社会科学、技术发明、科技进步获奖项目主要完成人（一等奖前2名、二等奖第1名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56DAC"/>
    <w:rsid w:val="6AB56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2019-04-13T03:53:00Z</dcterms:created>
  <dc:creator>Yan</dc:creator>
  <cp:lastModifiedBy>Yan</cp:lastModifiedBy>
  <dcterms:modified xsi:type="dcterms:W3CDTF">2019-04-13T03:53:49Z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