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26" w:lineRule="atLeast"/>
        <w:ind w:left="0" w:righ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Style w:val="5"/>
          <w:rFonts w:ascii="仿宋_GB2312" w:hAnsi="宋体" w:eastAsia="仿宋_GB2312" w:cs="仿宋_GB2312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招聘专业岗位、人数</w:t>
      </w:r>
    </w:p>
    <w:bookmarkEnd w:id="0"/>
    <w:tbl>
      <w:tblPr>
        <w:tblW w:w="7028" w:type="dxa"/>
        <w:tblCellSpacing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600"/>
        <w:gridCol w:w="600"/>
        <w:gridCol w:w="939"/>
        <w:gridCol w:w="600"/>
        <w:gridCol w:w="600"/>
        <w:gridCol w:w="701"/>
        <w:gridCol w:w="20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代码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拟聘人数</w:t>
            </w:r>
          </w:p>
        </w:tc>
        <w:tc>
          <w:tcPr>
            <w:tcW w:w="4868" w:type="dxa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招聘岗位所需资格条件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年龄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9000486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专业技术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电子商务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研究生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硕士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本科阶段为电子商务专业的，研究生阶段可以为管理类、经济类及计算机类相关专业。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9000487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专业技术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数字媒体艺术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研究生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硕士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9000488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专业技术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广播电视艺术学、电影学、影视摄影与制作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节目制作方向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9000489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专业技术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广播电视学、影视摄影与制作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电视摄像、电影摄像方向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9000490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专业技术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3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照明艺术、戏剧影视美术设计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本科及以上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学士及以上</w:t>
            </w: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35周岁以下</w:t>
            </w:r>
          </w:p>
        </w:tc>
        <w:tc>
          <w:tcPr>
            <w:tcW w:w="20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26" w:lineRule="atLeast"/>
              <w:ind w:left="0" w:right="0" w:firstLine="420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戏剧影视美术设计专业要求灯光、照明方向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B778F"/>
    <w:rsid w:val="01CB77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2019-05-07T02:00:00Z</dcterms:created>
  <dc:creator>ASUS</dc:creator>
  <cp:lastModifiedBy>ASUS</cp:lastModifiedBy>
  <dcterms:modified xsi:type="dcterms:W3CDTF">2019-05-07T02:01:00Z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