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72" w:tblpY="470"/>
        <w:tblOverlap w:val="never"/>
        <w:tblW w:w="9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832"/>
        <w:gridCol w:w="1183"/>
        <w:gridCol w:w="617"/>
        <w:gridCol w:w="3919"/>
        <w:gridCol w:w="1134"/>
        <w:gridCol w:w="9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11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3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6"/>
                <w:sz w:val="24"/>
                <w:szCs w:val="30"/>
              </w:rPr>
              <w:t>普通话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50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中国语言文学类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</w:rPr>
              <w:t>全日制硕士研究生及以上学位、学历者，或教育部直属公费师范毕业生，或教育部直属师范大学全日制师范类本科毕业生。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szCs w:val="30"/>
              </w:rPr>
              <w:t>二级甲等及以上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/>
                <w:szCs w:val="30"/>
              </w:rPr>
              <w:t>服务期5年以上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03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数学类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szCs w:val="30"/>
              </w:rPr>
              <w:t>二级乙等及以上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30"/>
              </w:rPr>
              <w:t>服务期5年以上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503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英语教师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英语、英语语言文学、应用英语，实用英语、学科教学（英语）、英语教育、英语（笔译）、英语（口译）、英语（翻译）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同上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szCs w:val="30"/>
              </w:rPr>
              <w:t>二级乙等及以上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30"/>
              </w:rPr>
              <w:t>服务期5年以上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1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66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2264"/>
                <w:tab w:val="center" w:pos="3282"/>
              </w:tabs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ab/>
            </w:r>
            <w:r>
              <w:rPr>
                <w:rFonts w:hint="eastAsia" w:ascii="宋体" w:hAnsi="宋体" w:cs="宋体"/>
                <w:kern w:val="0"/>
                <w:szCs w:val="21"/>
              </w:rPr>
              <w:tab/>
            </w:r>
            <w:r>
              <w:rPr>
                <w:rFonts w:hint="eastAsia" w:ascii="宋体" w:hAnsi="宋体" w:cs="宋体"/>
                <w:kern w:val="0"/>
                <w:szCs w:val="21"/>
              </w:rPr>
              <w:t>4人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976F4"/>
    <w:rsid w:val="2F39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2019-11-22T04:43:00Z</dcterms:created>
  <dc:creator>秋叶夏花</dc:creator>
  <cp:lastModifiedBy>秋叶夏花</cp:lastModifiedBy>
  <dcterms:modified xsi:type="dcterms:W3CDTF">2019-11-22T04:46:05Z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