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招聘岗位及要求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7"/>
        <w:gridCol w:w="900"/>
        <w:gridCol w:w="1336"/>
        <w:gridCol w:w="810"/>
        <w:gridCol w:w="1336"/>
        <w:gridCol w:w="1770"/>
        <w:gridCol w:w="141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  <w:jc w:val="center"/>
        </w:trPr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岗位 代码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招聘 部门</w:t>
            </w:r>
          </w:p>
        </w:tc>
        <w:tc>
          <w:tcPr>
            <w:tcW w:w="11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 招聘  岗位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招聘人数</w:t>
            </w: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专业</w:t>
            </w:r>
          </w:p>
        </w:tc>
        <w:tc>
          <w:tcPr>
            <w:tcW w:w="1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学历学位</w:t>
            </w:r>
          </w:p>
        </w:tc>
        <w:tc>
          <w:tcPr>
            <w:tcW w:w="11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bdr w:val="none" w:color="auto" w:sz="0" w:space="0"/>
              </w:rPr>
              <w:t>其他  要求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学前教育系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学前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教育学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学前教育（学）、教育学、高等教育学、教育学原理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博士研究生，并具有全日制普通高等院校本科及以上学历、学士及以上学位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教学与科研能力突出，成果显著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艺术系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设计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设计学、艺术设计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博士研究生，并具有全日制普通高等院校本科及以上学历、学士及以上学位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教学与科研能力突出，成果显著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人文科学系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数字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媒体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设计学、艺术设计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博士研究生，并具有全日制普通高等院校本科及以上学历、学士及以上学位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具有从事3D数字媒体、数字媒体技术、虚拟现实技术等方向所需的教学与科研能力，成果显著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900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学前教育系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特殊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特殊教育、特殊教育学、学科教学（特殊教育）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全日制研究生学历，硕士及以上学位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00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早期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早期教育、学前教育（早期教育方向）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全日制研究生学历，硕士及以上学位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00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高等教育、教师教育、课程与教学论、早期教育、学前教育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全日制研究生学历，硕士及以上学位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00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美术、美术学、美术教育、学科教学（美术）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全日制研究生学历，硕士及以上学位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5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艺术系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美术、美术学、学科教学（美术）、美术教育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全日制研究生学历，硕士及以上学位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研究方向为漆艺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附属幼儿园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学前教育（学）、幼儿教育、早期教育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全日制研究生学历，硕士及以上学位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172A3"/>
    <w:rsid w:val="6061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2019-11-29T05:42:00Z</dcterms:created>
  <dc:creator>秋叶夏花</dc:creator>
  <cp:lastModifiedBy>秋叶夏花</cp:lastModifiedBy>
  <dcterms:modified xsi:type="dcterms:W3CDTF">2019-11-29T05:43:16Z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