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color w:val="000000" w:themeColor="text1"/>
        </w:rPr>
      </w:pPr>
      <w:bookmarkStart w:id="0" w:name="_GoBack"/>
      <w:bookmarkEnd w:id="0"/>
      <w:r>
        <w:rPr>
          <w:rFonts w:hint="eastAsia" w:ascii="微软雅黑" w:hAnsi="微软雅黑" w:eastAsia="微软雅黑" w:cs="微软雅黑"/>
          <w:color w:val="000000" w:themeColor="text1"/>
          <w:sz w:val="36"/>
          <w:szCs w:val="36"/>
        </w:rPr>
        <w:t>鲁东大学人才引进与管理办法</w:t>
      </w:r>
    </w:p>
    <w:p>
      <w:pPr>
        <w:jc w:val="center"/>
        <w:rPr>
          <w:rFonts w:ascii="黑体" w:hAnsi="黑体" w:eastAsia="黑体" w:cs="黑体"/>
          <w:color w:val="000000" w:themeColor="text1"/>
          <w:sz w:val="32"/>
          <w:szCs w:val="32"/>
        </w:rPr>
      </w:pPr>
    </w:p>
    <w:p>
      <w:pPr>
        <w:spacing w:line="600" w:lineRule="exact"/>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第一章 总 则</w:t>
      </w:r>
    </w:p>
    <w:p>
      <w:pPr>
        <w:spacing w:line="600" w:lineRule="exact"/>
        <w:ind w:firstLine="602" w:firstLineChars="200"/>
        <w:rPr>
          <w:color w:val="000000" w:themeColor="text1"/>
        </w:rPr>
      </w:pPr>
      <w:r>
        <w:rPr>
          <w:rFonts w:hint="eastAsia" w:ascii="仿宋" w:hAnsi="仿宋" w:eastAsia="仿宋" w:cs="仿宋"/>
          <w:b/>
          <w:bCs/>
          <w:color w:val="000000" w:themeColor="text1"/>
          <w:sz w:val="30"/>
          <w:szCs w:val="30"/>
        </w:rPr>
        <w:t>第一条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为深入实施人才强校战略，进一步适应引才工作新形势，全面提高引才质量，充分发挥人才增量效益，推动学校高质量发展，根据上级有关文件精神，结合我校实际，制定本办法。</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人才引进与管理工作应坚持立德树人根本任务，服务于高等教育事业发展的现实需求，以学科、专业建设总体布局和发展规划为依据，围绕高层次创新团队建设，重点引进造诣精深、国内知名的学术领军人物；具有海外背景、具备发展潜力的中青年学科带头人；具有师范教育背景、教学能力强的育人骨干力量。</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第三条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引进人才要综合考虑政治素质、师德师风、业务能力、工作实绩，注重创新能力和实践能力，坚持德才兼备、公平竞争、择优引进。</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第四条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引进人才分为全职引进和柔性引进两种形式。全职引进指通过公开招聘、人事调动进入学校的正式编制人员，或与学校签订全职聘用合同的外籍和港澳台人士；柔性引进指人事关系不转入学校，以科研合作、技术攻关、合作培养等形式，每年在学校工作一定时间的人员。</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第五条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对学术领军人才及特殊需求人才的引进可以采取“特事特办、一事一议”的方式，协商议定引进条件、待遇等事宜。</w:t>
      </w:r>
    </w:p>
    <w:p>
      <w:pPr>
        <w:spacing w:line="600" w:lineRule="exact"/>
        <w:ind w:firstLine="640" w:firstLineChars="200"/>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第二章 引进层次</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第六条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人才引进对象分为八个层次。</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第七条</w:t>
      </w:r>
      <w:r>
        <w:rPr>
          <w:rFonts w:ascii="仿宋" w:hAnsi="仿宋" w:eastAsia="仿宋" w:cs="仿宋"/>
          <w:color w:val="000000" w:themeColor="text1"/>
          <w:sz w:val="30"/>
          <w:szCs w:val="30"/>
        </w:rPr>
        <w:t xml:space="preserve">  </w:t>
      </w:r>
      <w:r>
        <w:rPr>
          <w:rFonts w:hint="eastAsia" w:ascii="仿宋" w:hAnsi="仿宋" w:eastAsia="仿宋" w:cs="仿宋"/>
          <w:color w:val="000000" w:themeColor="text1"/>
          <w:sz w:val="30"/>
          <w:szCs w:val="30"/>
        </w:rPr>
        <w:t>基本条件</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（一）遵守国家法律法规，具有良好的思想政治素质；</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（二）师德高尚，学风严谨，具有良好的团队协作精神；</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（三）符合山东省事业单位招聘工作人员的其他相关条件。</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第八条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第一层次人才，符合下列条件之一：</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两院院士；中国社会科学院（研究院）学部委员；国家“万人计划”杰出人才；国家最高科学技术奖获得者；海外同层次人才。</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第九条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第二层次人才（年龄不超过55周岁），符合下列条件之一：</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一）两院院士有效候选人；国家“千人计划”入选者；国家“万人计划”领军人才；获国家杰出青年科学基金资助者；国家有突出贡献的中青年专家；教育部“长江学者”；山东省“泰山学者攀登计划”入选者，近5年主持重大科研课题并取得标志性学术成果。</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（二）国家“863”计划项目、国家“973”计划项目、国家科技支撑计划重点项目、国家自然科学基金重大项目、国家社科基金重大项目首席科学家。</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（三）获国家自然科学奖、国家技术发明奖、国家科技进步奖一二等奖、高等学校科学研究优秀成果奖（人文社科类）一等奖首位人员；省科学技术最高奖获得者。</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第十条</w:t>
      </w:r>
      <w:r>
        <w:rPr>
          <w:rFonts w:ascii="仿宋" w:hAnsi="仿宋" w:eastAsia="仿宋" w:cs="仿宋"/>
          <w:color w:val="000000" w:themeColor="text1"/>
          <w:sz w:val="30"/>
          <w:szCs w:val="30"/>
        </w:rPr>
        <w:t xml:space="preserve">  </w:t>
      </w:r>
      <w:r>
        <w:rPr>
          <w:rFonts w:hint="eastAsia" w:ascii="仿宋" w:hAnsi="仿宋" w:eastAsia="仿宋" w:cs="仿宋"/>
          <w:color w:val="000000" w:themeColor="text1"/>
          <w:sz w:val="30"/>
          <w:szCs w:val="30"/>
        </w:rPr>
        <w:t>第三层次人才（年龄不超过50周岁），符合下列条件之一：</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国家“千人计划”青年项目入选者；国家“万人计划”青年拔尖人才入选者；获国家优秀青年科学基金资助者；中宣部文化名家暨“四个一批”人才；教育部“青年长江学者”；山东省“泰山学者”特聘专家；中科院“百人计划”学术帅才；在海外知名高校获聘终身教授，近5年主持重大科研课题并取得标志性学术成果。</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第十一条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第四层次人才（年龄不超过45周岁），符合下列条件之一：</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（一）山东省“泰山学者”青年专家；省杰出青年科学基金获得者。</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（二）近5年获得省部级自然科学、技术发明、科技进步二等奖或省社会科学优秀成果一等奖首位人员。</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三）近5年主持国家自然科学基金面上项目、国家社会科学基金一般项目、省部级重大（重点）等科研项目(不含小额资助和无资项目)2项,并发表SCI三区及以上、EI核心、SSCI、CSSCI、A&amp;HCI学术论文、在《人民日报》和《光明日报》理论版发表学术论文、《新华文摘》全文转载论文、授权国家发明专利合计10篇（项），其中专利数量不超过2项。</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（四）近5年在</w:t>
      </w:r>
      <w:r>
        <w:rPr>
          <w:rFonts w:ascii="仿宋" w:hAnsi="仿宋" w:eastAsia="仿宋" w:cs="仿宋"/>
          <w:color w:val="000000" w:themeColor="text1"/>
          <w:sz w:val="30"/>
          <w:szCs w:val="30"/>
        </w:rPr>
        <w:t>Nature，Science</w:t>
      </w:r>
      <w:r>
        <w:rPr>
          <w:rFonts w:hint="eastAsia" w:ascii="仿宋" w:hAnsi="仿宋" w:eastAsia="仿宋" w:cs="仿宋"/>
          <w:color w:val="000000" w:themeColor="text1"/>
          <w:sz w:val="30"/>
          <w:szCs w:val="30"/>
        </w:rPr>
        <w:t>，</w:t>
      </w:r>
      <w:r>
        <w:rPr>
          <w:rFonts w:ascii="仿宋" w:hAnsi="仿宋" w:eastAsia="仿宋" w:cs="仿宋"/>
          <w:color w:val="000000" w:themeColor="text1"/>
          <w:sz w:val="30"/>
          <w:szCs w:val="30"/>
        </w:rPr>
        <w:t>Cell</w:t>
      </w:r>
      <w:r>
        <w:rPr>
          <w:rFonts w:hint="eastAsia" w:ascii="仿宋" w:hAnsi="仿宋" w:eastAsia="仿宋" w:cs="仿宋"/>
          <w:color w:val="000000" w:themeColor="text1"/>
          <w:sz w:val="30"/>
          <w:szCs w:val="30"/>
        </w:rPr>
        <w:t>等三大学术期刊发表学术论文。</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（五）近5年入选ESI年度高被引学者。</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（六）在海外全球TOP200高校取得博士学位，且在海外知名高校获聘副教授并取得国际公认学术成果。</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第十二条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第五层次人才（年龄不超过40周岁），符合下列条件之一：</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一）在海外全球TOP200高校取得博士学位且发表高水平SCI、SSCI、EI学术论文2篇；在海外全球TOP200高校或海外全球自然指数排名前100位的高校（科研院所）有正式职位或从事博士后研究1年以上，且发表高水平SCI、SSCI、EI学术论文3篇。</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（二）近5年获得省部级自然科学、技术发明、科技进步三等奖或省社会科学优秀成果二等奖首位人员。</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三）近5年主持国家自然科学基金面上项目、国家社会科学基金一般项目、省部级重大（重点）科研项目(不含小额资助和无资项目)1项,并发表SCI三区及以上、EI、SSCI、CSSCI、A&amp;HCI学术论文、在《人民日报》和《光明日报》理论版发表学术论文、《新华文摘》全文转载论文、授权国家发明专利合计6篇（项），其中专利数量不超过2项。</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（四）近5年在影响因子大于15的学术期刊发表学术论文。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第十三条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第六层次人才（年龄不超过35周岁），符合下列条件之一：</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（一）在海外知名高校（科研院所）从事博士后研究1年以上，且发表高水平SCI、SSCI、EI学术论文3篇。</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（二）近5年发表SCI一区、SSCI二区及以上论文2篇或SCI二区及以上、CSSCI排名前40%、SSCI论文3篇。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第十四条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第七层次人才（年龄不超过35周岁），符合下列条件：</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近5年发表SCI二区及以上论文2篇或SSCI二区及以上论文1篇或SCI三区及以上论文3篇或SSCI论文2篇或CSSCI、EI论文3篇。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第十五条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第八层次人才（年龄不超过35周岁），符合下列条件：</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第一学历为全日制本科且毕业于有硕士学位授予权的高校，博士毕业于引进难度较大或有特殊需求的学科专业，发表本学科领域高水平论文</w:t>
      </w:r>
      <w:r>
        <w:rPr>
          <w:rFonts w:ascii="仿宋" w:hAnsi="仿宋" w:eastAsia="仿宋" w:cs="仿宋"/>
          <w:color w:val="000000" w:themeColor="text1"/>
          <w:sz w:val="30"/>
          <w:szCs w:val="30"/>
        </w:rPr>
        <w:t>3</w:t>
      </w:r>
      <w:r>
        <w:rPr>
          <w:rFonts w:hint="eastAsia" w:ascii="仿宋" w:hAnsi="仿宋" w:eastAsia="仿宋" w:cs="仿宋"/>
          <w:color w:val="000000" w:themeColor="text1"/>
          <w:sz w:val="30"/>
          <w:szCs w:val="30"/>
        </w:rPr>
        <w:t>篇，能够胜任核心课程教学任务，具有较强实践能力和创新能力。</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第十五条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一、二、三层次人才原则上应具有博士学位，四、五、六、七、八层次人才必须具有博士学位。有特殊业绩者，可根据实际情况协商确定人才层次。</w:t>
      </w:r>
    </w:p>
    <w:p>
      <w:pPr>
        <w:spacing w:line="600" w:lineRule="exact"/>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第三章 引进人才待遇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第十七条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全职引进人才待遇包括安家费及购房补贴、人才津贴、科研启动费等，引进的外籍和港澳台人才可参照相应标准或协商确定引进待遇。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第十八条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学校全职引进人才按照人才层次提供如下待遇：</w:t>
      </w:r>
    </w:p>
    <w:p>
      <w:pPr>
        <w:spacing w:line="600" w:lineRule="exact"/>
        <w:ind w:firstLine="600" w:firstLineChars="200"/>
        <w:rPr>
          <w:rFonts w:ascii="仿宋" w:hAnsi="仿宋" w:eastAsia="仿宋" w:cs="仿宋"/>
          <w:color w:val="000000" w:themeColor="text1"/>
          <w:sz w:val="30"/>
          <w:szCs w:val="30"/>
        </w:rPr>
      </w:pPr>
    </w:p>
    <w:p>
      <w:pPr>
        <w:spacing w:line="600" w:lineRule="exact"/>
        <w:ind w:firstLine="600" w:firstLineChars="200"/>
        <w:rPr>
          <w:rFonts w:ascii="仿宋" w:hAnsi="仿宋" w:eastAsia="仿宋" w:cs="仿宋"/>
          <w:color w:val="000000" w:themeColor="text1"/>
          <w:sz w:val="30"/>
          <w:szCs w:val="30"/>
        </w:rPr>
      </w:pPr>
    </w:p>
    <w:p>
      <w:pPr>
        <w:spacing w:line="600" w:lineRule="exact"/>
        <w:ind w:firstLine="600" w:firstLineChars="200"/>
        <w:rPr>
          <w:rFonts w:ascii="仿宋" w:hAnsi="仿宋" w:eastAsia="仿宋" w:cs="仿宋"/>
          <w:color w:val="000000" w:themeColor="text1"/>
          <w:sz w:val="30"/>
          <w:szCs w:val="30"/>
        </w:rPr>
      </w:pPr>
    </w:p>
    <w:tbl>
      <w:tblPr>
        <w:tblStyle w:val="5"/>
        <w:tblpPr w:leftFromText="180" w:rightFromText="180" w:vertAnchor="text" w:horzAnchor="margin" w:tblpXSpec="center" w:tblpY="70"/>
        <w:tblOverlap w:val="never"/>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8"/>
        <w:gridCol w:w="1521"/>
        <w:gridCol w:w="1614"/>
        <w:gridCol w:w="1416"/>
        <w:gridCol w:w="1422"/>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678" w:type="dxa"/>
            <w:vMerge w:val="restart"/>
            <w:vAlign w:val="center"/>
          </w:tcPr>
          <w:p>
            <w:pPr>
              <w:spacing w:line="500" w:lineRule="exact"/>
              <w:jc w:val="center"/>
              <w:rPr>
                <w:b/>
                <w:bCs/>
                <w:color w:val="000000" w:themeColor="text1"/>
              </w:rPr>
            </w:pPr>
            <w:r>
              <w:rPr>
                <w:rFonts w:hint="eastAsia" w:cs="宋体"/>
                <w:b/>
                <w:bCs/>
                <w:color w:val="000000" w:themeColor="text1"/>
              </w:rPr>
              <w:t>人才层次</w:t>
            </w:r>
          </w:p>
        </w:tc>
        <w:tc>
          <w:tcPr>
            <w:tcW w:w="7644" w:type="dxa"/>
            <w:gridSpan w:val="5"/>
            <w:vAlign w:val="center"/>
          </w:tcPr>
          <w:p>
            <w:pPr>
              <w:spacing w:line="500" w:lineRule="exact"/>
              <w:jc w:val="center"/>
              <w:rPr>
                <w:b/>
                <w:bCs/>
                <w:color w:val="000000" w:themeColor="text1"/>
              </w:rPr>
            </w:pPr>
            <w:r>
              <w:rPr>
                <w:rFonts w:hint="eastAsia" w:cs="宋体"/>
                <w:b/>
                <w:bCs/>
                <w:color w:val="000000" w:themeColor="text1"/>
              </w:rPr>
              <w:t>引进待遇（税前）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Merge w:val="continue"/>
            <w:vAlign w:val="center"/>
          </w:tcPr>
          <w:p>
            <w:pPr>
              <w:spacing w:line="500" w:lineRule="exact"/>
              <w:jc w:val="center"/>
              <w:rPr>
                <w:b/>
                <w:bCs/>
                <w:color w:val="000000" w:themeColor="text1"/>
              </w:rPr>
            </w:pPr>
          </w:p>
        </w:tc>
        <w:tc>
          <w:tcPr>
            <w:tcW w:w="1521" w:type="dxa"/>
            <w:vMerge w:val="restart"/>
            <w:vAlign w:val="center"/>
          </w:tcPr>
          <w:p>
            <w:pPr>
              <w:spacing w:line="500" w:lineRule="exact"/>
              <w:jc w:val="center"/>
              <w:rPr>
                <w:b/>
                <w:bCs/>
                <w:color w:val="000000" w:themeColor="text1"/>
              </w:rPr>
            </w:pPr>
            <w:r>
              <w:rPr>
                <w:rFonts w:hint="eastAsia" w:cs="宋体"/>
                <w:b/>
                <w:bCs/>
                <w:color w:val="000000" w:themeColor="text1"/>
              </w:rPr>
              <w:t>安家费及购房补贴（万元）</w:t>
            </w:r>
          </w:p>
        </w:tc>
        <w:tc>
          <w:tcPr>
            <w:tcW w:w="1614" w:type="dxa"/>
            <w:vMerge w:val="restart"/>
            <w:vAlign w:val="center"/>
          </w:tcPr>
          <w:p>
            <w:pPr>
              <w:spacing w:line="500" w:lineRule="exact"/>
              <w:jc w:val="center"/>
              <w:rPr>
                <w:rFonts w:cs="宋体"/>
                <w:b/>
                <w:bCs/>
                <w:color w:val="000000" w:themeColor="text1"/>
              </w:rPr>
            </w:pPr>
            <w:r>
              <w:rPr>
                <w:rFonts w:hint="eastAsia" w:cs="宋体"/>
                <w:b/>
                <w:bCs/>
                <w:color w:val="000000" w:themeColor="text1"/>
              </w:rPr>
              <w:t>人才津贴</w:t>
            </w:r>
          </w:p>
          <w:p>
            <w:pPr>
              <w:spacing w:line="500" w:lineRule="exact"/>
              <w:jc w:val="center"/>
              <w:rPr>
                <w:b/>
                <w:bCs/>
                <w:color w:val="000000" w:themeColor="text1"/>
              </w:rPr>
            </w:pPr>
            <w:r>
              <w:rPr>
                <w:rFonts w:hint="eastAsia" w:cs="宋体"/>
                <w:b/>
                <w:bCs/>
                <w:color w:val="000000" w:themeColor="text1"/>
              </w:rPr>
              <w:t>（万元／年）</w:t>
            </w:r>
          </w:p>
        </w:tc>
        <w:tc>
          <w:tcPr>
            <w:tcW w:w="2838" w:type="dxa"/>
            <w:gridSpan w:val="2"/>
            <w:vAlign w:val="center"/>
          </w:tcPr>
          <w:p>
            <w:pPr>
              <w:spacing w:line="500" w:lineRule="exact"/>
              <w:jc w:val="center"/>
              <w:rPr>
                <w:b/>
                <w:bCs/>
                <w:color w:val="000000" w:themeColor="text1"/>
              </w:rPr>
            </w:pPr>
            <w:r>
              <w:rPr>
                <w:rFonts w:hint="eastAsia" w:cs="宋体"/>
                <w:b/>
                <w:bCs/>
                <w:color w:val="000000" w:themeColor="text1"/>
              </w:rPr>
              <w:t>科研启动费（万元）</w:t>
            </w:r>
          </w:p>
        </w:tc>
        <w:tc>
          <w:tcPr>
            <w:tcW w:w="1671" w:type="dxa"/>
            <w:vAlign w:val="center"/>
          </w:tcPr>
          <w:p>
            <w:pPr>
              <w:spacing w:line="500" w:lineRule="exact"/>
              <w:jc w:val="center"/>
              <w:rPr>
                <w:b/>
                <w:bCs/>
                <w:color w:val="000000" w:themeColor="text1"/>
              </w:rPr>
            </w:pPr>
            <w:r>
              <w:rPr>
                <w:rFonts w:hint="eastAsia"/>
                <w:b/>
                <w:bCs/>
                <w:color w:val="000000" w:themeColor="text1"/>
              </w:rPr>
              <w:t>实验室建设费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exact"/>
        </w:trPr>
        <w:tc>
          <w:tcPr>
            <w:tcW w:w="1678" w:type="dxa"/>
            <w:vMerge w:val="continue"/>
            <w:vAlign w:val="center"/>
          </w:tcPr>
          <w:p>
            <w:pPr>
              <w:spacing w:line="500" w:lineRule="exact"/>
              <w:jc w:val="center"/>
              <w:rPr>
                <w:b/>
                <w:bCs/>
                <w:color w:val="000000" w:themeColor="text1"/>
              </w:rPr>
            </w:pPr>
          </w:p>
        </w:tc>
        <w:tc>
          <w:tcPr>
            <w:tcW w:w="1521" w:type="dxa"/>
            <w:vMerge w:val="continue"/>
            <w:vAlign w:val="center"/>
          </w:tcPr>
          <w:p>
            <w:pPr>
              <w:spacing w:line="500" w:lineRule="exact"/>
              <w:jc w:val="center"/>
              <w:rPr>
                <w:rFonts w:cs="宋体"/>
                <w:b/>
                <w:bCs/>
                <w:color w:val="000000" w:themeColor="text1"/>
              </w:rPr>
            </w:pPr>
          </w:p>
        </w:tc>
        <w:tc>
          <w:tcPr>
            <w:tcW w:w="1614" w:type="dxa"/>
            <w:vMerge w:val="continue"/>
            <w:vAlign w:val="center"/>
          </w:tcPr>
          <w:p>
            <w:pPr>
              <w:spacing w:line="500" w:lineRule="exact"/>
              <w:jc w:val="center"/>
              <w:rPr>
                <w:rFonts w:cs="宋体"/>
                <w:b/>
                <w:bCs/>
                <w:color w:val="000000" w:themeColor="text1"/>
              </w:rPr>
            </w:pPr>
          </w:p>
        </w:tc>
        <w:tc>
          <w:tcPr>
            <w:tcW w:w="1416" w:type="dxa"/>
            <w:vAlign w:val="center"/>
          </w:tcPr>
          <w:p>
            <w:pPr>
              <w:spacing w:line="500" w:lineRule="exact"/>
              <w:jc w:val="center"/>
              <w:rPr>
                <w:rFonts w:cs="宋体"/>
                <w:b/>
                <w:bCs/>
                <w:color w:val="000000" w:themeColor="text1"/>
              </w:rPr>
            </w:pPr>
            <w:r>
              <w:rPr>
                <w:rFonts w:hint="eastAsia" w:cs="宋体"/>
                <w:b/>
                <w:bCs/>
                <w:color w:val="000000" w:themeColor="text1"/>
              </w:rPr>
              <w:t>自然科学</w:t>
            </w:r>
          </w:p>
        </w:tc>
        <w:tc>
          <w:tcPr>
            <w:tcW w:w="1422" w:type="dxa"/>
            <w:vAlign w:val="center"/>
          </w:tcPr>
          <w:p>
            <w:pPr>
              <w:spacing w:line="500" w:lineRule="exact"/>
              <w:jc w:val="center"/>
              <w:rPr>
                <w:rFonts w:cs="宋体"/>
                <w:b/>
                <w:bCs/>
                <w:color w:val="000000" w:themeColor="text1"/>
              </w:rPr>
            </w:pPr>
            <w:r>
              <w:rPr>
                <w:rFonts w:hint="eastAsia" w:cs="宋体"/>
                <w:b/>
                <w:bCs/>
                <w:color w:val="000000" w:themeColor="text1"/>
              </w:rPr>
              <w:t>人文社科</w:t>
            </w:r>
          </w:p>
        </w:tc>
        <w:tc>
          <w:tcPr>
            <w:tcW w:w="1671" w:type="dxa"/>
            <w:vMerge w:val="restart"/>
            <w:vAlign w:val="center"/>
          </w:tcPr>
          <w:p>
            <w:pPr>
              <w:spacing w:line="500" w:lineRule="exact"/>
              <w:jc w:val="center"/>
              <w:rPr>
                <w:rFonts w:cs="宋体"/>
                <w:b/>
                <w:bCs/>
                <w:color w:val="000000" w:themeColor="text1"/>
              </w:rPr>
            </w:pPr>
            <w:r>
              <w:rPr>
                <w:rFonts w:hint="eastAsia" w:cs="宋体"/>
                <w:color w:val="000000" w:themeColor="text1"/>
              </w:rPr>
              <w:t>根据工作需要提供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pPr>
              <w:spacing w:line="500" w:lineRule="exact"/>
              <w:jc w:val="center"/>
              <w:rPr>
                <w:color w:val="000000" w:themeColor="text1"/>
              </w:rPr>
            </w:pPr>
            <w:r>
              <w:rPr>
                <w:rFonts w:hint="eastAsia"/>
                <w:color w:val="000000" w:themeColor="text1"/>
              </w:rPr>
              <w:t>第一层次</w:t>
            </w:r>
          </w:p>
        </w:tc>
        <w:tc>
          <w:tcPr>
            <w:tcW w:w="5973" w:type="dxa"/>
            <w:gridSpan w:val="4"/>
            <w:vAlign w:val="center"/>
          </w:tcPr>
          <w:p>
            <w:pPr>
              <w:spacing w:line="500" w:lineRule="exact"/>
              <w:jc w:val="center"/>
              <w:rPr>
                <w:color w:val="000000" w:themeColor="text1"/>
              </w:rPr>
            </w:pPr>
            <w:r>
              <w:rPr>
                <w:rFonts w:hint="eastAsia" w:cs="宋体"/>
                <w:color w:val="000000" w:themeColor="text1"/>
              </w:rPr>
              <w:t>面议</w:t>
            </w:r>
          </w:p>
          <w:p>
            <w:pPr>
              <w:spacing w:line="500" w:lineRule="exact"/>
              <w:jc w:val="center"/>
              <w:rPr>
                <w:color w:val="000000" w:themeColor="text1"/>
              </w:rPr>
            </w:pPr>
            <w:r>
              <w:rPr>
                <w:rFonts w:hint="eastAsia" w:cs="宋体"/>
                <w:color w:val="000000" w:themeColor="text1"/>
              </w:rPr>
              <w:t>面议</w:t>
            </w:r>
          </w:p>
          <w:p>
            <w:pPr>
              <w:spacing w:line="500" w:lineRule="exact"/>
              <w:jc w:val="center"/>
              <w:rPr>
                <w:color w:val="000000" w:themeColor="text1"/>
              </w:rPr>
            </w:pPr>
            <w:r>
              <w:rPr>
                <w:rFonts w:hint="eastAsia" w:cs="宋体"/>
                <w:color w:val="000000" w:themeColor="text1"/>
              </w:rPr>
              <w:t>面议</w:t>
            </w:r>
          </w:p>
        </w:tc>
        <w:tc>
          <w:tcPr>
            <w:tcW w:w="1671" w:type="dxa"/>
            <w:vMerge w:val="continue"/>
            <w:vAlign w:val="center"/>
          </w:tcPr>
          <w:p>
            <w:pPr>
              <w:spacing w:line="500" w:lineRule="exact"/>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pPr>
              <w:spacing w:line="500" w:lineRule="exact"/>
              <w:jc w:val="center"/>
              <w:rPr>
                <w:color w:val="000000" w:themeColor="text1"/>
              </w:rPr>
            </w:pPr>
            <w:r>
              <w:rPr>
                <w:rFonts w:hint="eastAsia"/>
                <w:color w:val="000000" w:themeColor="text1"/>
              </w:rPr>
              <w:t>第二层次</w:t>
            </w:r>
          </w:p>
        </w:tc>
        <w:tc>
          <w:tcPr>
            <w:tcW w:w="1521" w:type="dxa"/>
            <w:vAlign w:val="center"/>
          </w:tcPr>
          <w:p>
            <w:pPr>
              <w:spacing w:line="500" w:lineRule="exact"/>
              <w:jc w:val="center"/>
              <w:rPr>
                <w:color w:val="000000" w:themeColor="text1"/>
              </w:rPr>
            </w:pPr>
            <w:r>
              <w:rPr>
                <w:color w:val="000000" w:themeColor="text1"/>
              </w:rPr>
              <w:t>200</w:t>
            </w:r>
          </w:p>
        </w:tc>
        <w:tc>
          <w:tcPr>
            <w:tcW w:w="1614" w:type="dxa"/>
            <w:vAlign w:val="center"/>
          </w:tcPr>
          <w:p>
            <w:pPr>
              <w:spacing w:line="500" w:lineRule="exact"/>
              <w:jc w:val="center"/>
              <w:rPr>
                <w:color w:val="000000" w:themeColor="text1"/>
              </w:rPr>
            </w:pPr>
            <w:r>
              <w:rPr>
                <w:rFonts w:hint="eastAsia" w:cs="宋体"/>
                <w:color w:val="000000" w:themeColor="text1"/>
              </w:rPr>
              <w:t>100</w:t>
            </w:r>
          </w:p>
        </w:tc>
        <w:tc>
          <w:tcPr>
            <w:tcW w:w="1416" w:type="dxa"/>
            <w:vAlign w:val="center"/>
          </w:tcPr>
          <w:p>
            <w:pPr>
              <w:spacing w:line="500" w:lineRule="exact"/>
              <w:jc w:val="center"/>
              <w:rPr>
                <w:color w:val="000000" w:themeColor="text1"/>
              </w:rPr>
            </w:pPr>
            <w:r>
              <w:rPr>
                <w:rFonts w:hint="eastAsia" w:cs="宋体"/>
                <w:color w:val="000000" w:themeColor="text1"/>
              </w:rPr>
              <w:t>200</w:t>
            </w:r>
          </w:p>
        </w:tc>
        <w:tc>
          <w:tcPr>
            <w:tcW w:w="1422" w:type="dxa"/>
            <w:vAlign w:val="center"/>
          </w:tcPr>
          <w:p>
            <w:pPr>
              <w:spacing w:line="500" w:lineRule="exact"/>
              <w:jc w:val="center"/>
              <w:rPr>
                <w:color w:val="000000" w:themeColor="text1"/>
              </w:rPr>
            </w:pPr>
            <w:r>
              <w:rPr>
                <w:color w:val="000000" w:themeColor="text1"/>
              </w:rPr>
              <w:t>50</w:t>
            </w:r>
          </w:p>
        </w:tc>
        <w:tc>
          <w:tcPr>
            <w:tcW w:w="1671" w:type="dxa"/>
            <w:vMerge w:val="continue"/>
            <w:vAlign w:val="center"/>
          </w:tcPr>
          <w:p>
            <w:pPr>
              <w:spacing w:line="500" w:lineRule="exact"/>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pPr>
              <w:spacing w:line="500" w:lineRule="exact"/>
              <w:jc w:val="center"/>
              <w:rPr>
                <w:color w:val="000000" w:themeColor="text1"/>
              </w:rPr>
            </w:pPr>
            <w:r>
              <w:rPr>
                <w:rFonts w:hint="eastAsia"/>
                <w:color w:val="000000" w:themeColor="text1"/>
              </w:rPr>
              <w:t>第三层次</w:t>
            </w:r>
          </w:p>
        </w:tc>
        <w:tc>
          <w:tcPr>
            <w:tcW w:w="1521" w:type="dxa"/>
            <w:vAlign w:val="center"/>
          </w:tcPr>
          <w:p>
            <w:pPr>
              <w:spacing w:line="500" w:lineRule="exact"/>
              <w:jc w:val="center"/>
              <w:rPr>
                <w:color w:val="000000" w:themeColor="text1"/>
              </w:rPr>
            </w:pPr>
            <w:r>
              <w:rPr>
                <w:color w:val="000000" w:themeColor="text1"/>
              </w:rPr>
              <w:t>150</w:t>
            </w:r>
          </w:p>
        </w:tc>
        <w:tc>
          <w:tcPr>
            <w:tcW w:w="1614" w:type="dxa"/>
            <w:vAlign w:val="center"/>
          </w:tcPr>
          <w:p>
            <w:pPr>
              <w:spacing w:line="500" w:lineRule="exact"/>
              <w:jc w:val="center"/>
              <w:rPr>
                <w:color w:val="000000" w:themeColor="text1"/>
              </w:rPr>
            </w:pPr>
            <w:r>
              <w:rPr>
                <w:color w:val="000000" w:themeColor="text1"/>
              </w:rPr>
              <w:t>60</w:t>
            </w:r>
          </w:p>
        </w:tc>
        <w:tc>
          <w:tcPr>
            <w:tcW w:w="1416" w:type="dxa"/>
            <w:vAlign w:val="center"/>
          </w:tcPr>
          <w:p>
            <w:pPr>
              <w:spacing w:line="500" w:lineRule="exact"/>
              <w:jc w:val="center"/>
              <w:rPr>
                <w:color w:val="000000" w:themeColor="text1"/>
              </w:rPr>
            </w:pPr>
            <w:r>
              <w:rPr>
                <w:rFonts w:hint="eastAsia" w:cs="宋体"/>
                <w:color w:val="000000" w:themeColor="text1"/>
              </w:rPr>
              <w:t>100</w:t>
            </w:r>
          </w:p>
        </w:tc>
        <w:tc>
          <w:tcPr>
            <w:tcW w:w="1422" w:type="dxa"/>
            <w:vAlign w:val="center"/>
          </w:tcPr>
          <w:p>
            <w:pPr>
              <w:spacing w:line="500" w:lineRule="exact"/>
              <w:jc w:val="center"/>
              <w:rPr>
                <w:color w:val="000000" w:themeColor="text1"/>
              </w:rPr>
            </w:pPr>
            <w:r>
              <w:rPr>
                <w:color w:val="000000" w:themeColor="text1"/>
              </w:rPr>
              <w:t>30</w:t>
            </w:r>
          </w:p>
        </w:tc>
        <w:tc>
          <w:tcPr>
            <w:tcW w:w="1671" w:type="dxa"/>
            <w:vMerge w:val="continue"/>
            <w:vAlign w:val="center"/>
          </w:tcPr>
          <w:p>
            <w:pPr>
              <w:spacing w:line="500" w:lineRule="exact"/>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pPr>
              <w:spacing w:line="500" w:lineRule="exact"/>
              <w:jc w:val="center"/>
              <w:rPr>
                <w:color w:val="000000" w:themeColor="text1"/>
              </w:rPr>
            </w:pPr>
            <w:r>
              <w:rPr>
                <w:rFonts w:hint="eastAsia"/>
                <w:color w:val="000000" w:themeColor="text1"/>
              </w:rPr>
              <w:t>第四层次</w:t>
            </w:r>
          </w:p>
        </w:tc>
        <w:tc>
          <w:tcPr>
            <w:tcW w:w="1521" w:type="dxa"/>
            <w:vAlign w:val="center"/>
          </w:tcPr>
          <w:p>
            <w:pPr>
              <w:spacing w:line="500" w:lineRule="exact"/>
              <w:jc w:val="center"/>
              <w:rPr>
                <w:color w:val="000000" w:themeColor="text1"/>
              </w:rPr>
            </w:pPr>
            <w:r>
              <w:rPr>
                <w:color w:val="000000" w:themeColor="text1"/>
              </w:rPr>
              <w:t>100</w:t>
            </w:r>
          </w:p>
        </w:tc>
        <w:tc>
          <w:tcPr>
            <w:tcW w:w="1614" w:type="dxa"/>
            <w:vAlign w:val="center"/>
          </w:tcPr>
          <w:p>
            <w:pPr>
              <w:spacing w:line="500" w:lineRule="exact"/>
              <w:jc w:val="center"/>
              <w:rPr>
                <w:color w:val="000000" w:themeColor="text1"/>
              </w:rPr>
            </w:pPr>
            <w:r>
              <w:rPr>
                <w:color w:val="000000" w:themeColor="text1"/>
              </w:rPr>
              <w:t>40</w:t>
            </w:r>
          </w:p>
        </w:tc>
        <w:tc>
          <w:tcPr>
            <w:tcW w:w="1416" w:type="dxa"/>
            <w:vAlign w:val="center"/>
          </w:tcPr>
          <w:p>
            <w:pPr>
              <w:spacing w:line="500" w:lineRule="exact"/>
              <w:jc w:val="center"/>
              <w:rPr>
                <w:color w:val="000000" w:themeColor="text1"/>
              </w:rPr>
            </w:pPr>
            <w:r>
              <w:rPr>
                <w:rFonts w:hint="eastAsia"/>
                <w:color w:val="000000" w:themeColor="text1"/>
              </w:rPr>
              <w:t>100</w:t>
            </w:r>
          </w:p>
        </w:tc>
        <w:tc>
          <w:tcPr>
            <w:tcW w:w="1422" w:type="dxa"/>
            <w:vAlign w:val="center"/>
          </w:tcPr>
          <w:p>
            <w:pPr>
              <w:spacing w:line="500" w:lineRule="exact"/>
              <w:jc w:val="center"/>
              <w:rPr>
                <w:color w:val="000000" w:themeColor="text1"/>
              </w:rPr>
            </w:pPr>
            <w:r>
              <w:rPr>
                <w:rFonts w:hint="eastAsia"/>
                <w:color w:val="000000" w:themeColor="text1"/>
              </w:rPr>
              <w:t>30</w:t>
            </w:r>
          </w:p>
        </w:tc>
        <w:tc>
          <w:tcPr>
            <w:tcW w:w="1671" w:type="dxa"/>
            <w:vMerge w:val="continue"/>
            <w:vAlign w:val="center"/>
          </w:tcPr>
          <w:p>
            <w:pPr>
              <w:spacing w:line="500" w:lineRule="exact"/>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pPr>
              <w:spacing w:line="500" w:lineRule="exact"/>
              <w:jc w:val="center"/>
              <w:rPr>
                <w:color w:val="000000" w:themeColor="text1"/>
              </w:rPr>
            </w:pPr>
            <w:r>
              <w:rPr>
                <w:rFonts w:hint="eastAsia"/>
                <w:color w:val="000000" w:themeColor="text1"/>
              </w:rPr>
              <w:t>第五层次</w:t>
            </w:r>
          </w:p>
        </w:tc>
        <w:tc>
          <w:tcPr>
            <w:tcW w:w="1521" w:type="dxa"/>
            <w:vAlign w:val="center"/>
          </w:tcPr>
          <w:p>
            <w:pPr>
              <w:spacing w:line="500" w:lineRule="exact"/>
              <w:jc w:val="center"/>
              <w:rPr>
                <w:color w:val="000000" w:themeColor="text1"/>
              </w:rPr>
            </w:pPr>
            <w:r>
              <w:rPr>
                <w:color w:val="000000" w:themeColor="text1"/>
              </w:rPr>
              <w:t>80</w:t>
            </w:r>
          </w:p>
        </w:tc>
        <w:tc>
          <w:tcPr>
            <w:tcW w:w="1614" w:type="dxa"/>
            <w:vAlign w:val="center"/>
          </w:tcPr>
          <w:p>
            <w:pPr>
              <w:spacing w:line="500" w:lineRule="exact"/>
              <w:jc w:val="center"/>
              <w:rPr>
                <w:color w:val="000000" w:themeColor="text1"/>
              </w:rPr>
            </w:pPr>
            <w:r>
              <w:rPr>
                <w:color w:val="000000" w:themeColor="text1"/>
              </w:rPr>
              <w:t>20</w:t>
            </w:r>
          </w:p>
        </w:tc>
        <w:tc>
          <w:tcPr>
            <w:tcW w:w="1416" w:type="dxa"/>
            <w:vAlign w:val="center"/>
          </w:tcPr>
          <w:p>
            <w:pPr>
              <w:spacing w:line="500" w:lineRule="exact"/>
              <w:jc w:val="center"/>
              <w:rPr>
                <w:color w:val="000000" w:themeColor="text1"/>
              </w:rPr>
            </w:pPr>
            <w:r>
              <w:rPr>
                <w:color w:val="000000" w:themeColor="text1"/>
              </w:rPr>
              <w:t>30</w:t>
            </w:r>
          </w:p>
        </w:tc>
        <w:tc>
          <w:tcPr>
            <w:tcW w:w="1422" w:type="dxa"/>
            <w:vAlign w:val="center"/>
          </w:tcPr>
          <w:p>
            <w:pPr>
              <w:spacing w:line="500" w:lineRule="exact"/>
              <w:jc w:val="center"/>
              <w:rPr>
                <w:color w:val="000000" w:themeColor="text1"/>
              </w:rPr>
            </w:pPr>
            <w:r>
              <w:rPr>
                <w:color w:val="000000" w:themeColor="text1"/>
              </w:rPr>
              <w:t>15</w:t>
            </w:r>
          </w:p>
        </w:tc>
        <w:tc>
          <w:tcPr>
            <w:tcW w:w="1671" w:type="dxa"/>
            <w:vMerge w:val="continue"/>
            <w:vAlign w:val="center"/>
          </w:tcPr>
          <w:p>
            <w:pPr>
              <w:spacing w:line="500" w:lineRule="exact"/>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pPr>
              <w:spacing w:line="500" w:lineRule="exact"/>
              <w:jc w:val="center"/>
              <w:rPr>
                <w:color w:val="000000" w:themeColor="text1"/>
              </w:rPr>
            </w:pPr>
            <w:r>
              <w:rPr>
                <w:rFonts w:hint="eastAsia"/>
                <w:color w:val="000000" w:themeColor="text1"/>
              </w:rPr>
              <w:t>第六层次</w:t>
            </w:r>
          </w:p>
        </w:tc>
        <w:tc>
          <w:tcPr>
            <w:tcW w:w="1521" w:type="dxa"/>
            <w:vAlign w:val="center"/>
          </w:tcPr>
          <w:p>
            <w:pPr>
              <w:spacing w:line="500" w:lineRule="exact"/>
              <w:jc w:val="center"/>
              <w:rPr>
                <w:color w:val="000000" w:themeColor="text1"/>
              </w:rPr>
            </w:pPr>
            <w:r>
              <w:rPr>
                <w:color w:val="000000" w:themeColor="text1"/>
              </w:rPr>
              <w:t>55</w:t>
            </w:r>
          </w:p>
        </w:tc>
        <w:tc>
          <w:tcPr>
            <w:tcW w:w="1614" w:type="dxa"/>
            <w:vMerge w:val="restart"/>
            <w:vAlign w:val="center"/>
          </w:tcPr>
          <w:p>
            <w:pPr>
              <w:spacing w:line="500" w:lineRule="exact"/>
              <w:jc w:val="center"/>
              <w:rPr>
                <w:color w:val="000000" w:themeColor="text1"/>
              </w:rPr>
            </w:pPr>
            <w:r>
              <w:rPr>
                <w:rFonts w:hint="eastAsia"/>
                <w:color w:val="000000" w:themeColor="text1"/>
              </w:rPr>
              <w:t>-</w:t>
            </w:r>
          </w:p>
        </w:tc>
        <w:tc>
          <w:tcPr>
            <w:tcW w:w="1416" w:type="dxa"/>
            <w:vAlign w:val="center"/>
          </w:tcPr>
          <w:p>
            <w:pPr>
              <w:spacing w:line="500" w:lineRule="exact"/>
              <w:jc w:val="center"/>
              <w:rPr>
                <w:color w:val="000000" w:themeColor="text1"/>
              </w:rPr>
            </w:pPr>
            <w:r>
              <w:rPr>
                <w:rFonts w:hint="eastAsia"/>
                <w:color w:val="000000" w:themeColor="text1"/>
              </w:rPr>
              <w:t>22</w:t>
            </w:r>
          </w:p>
        </w:tc>
        <w:tc>
          <w:tcPr>
            <w:tcW w:w="1422" w:type="dxa"/>
            <w:vAlign w:val="center"/>
          </w:tcPr>
          <w:p>
            <w:pPr>
              <w:spacing w:line="500" w:lineRule="exact"/>
              <w:jc w:val="center"/>
              <w:rPr>
                <w:color w:val="000000" w:themeColor="text1"/>
              </w:rPr>
            </w:pPr>
            <w:r>
              <w:rPr>
                <w:rFonts w:hint="eastAsia"/>
                <w:color w:val="000000" w:themeColor="text1"/>
              </w:rPr>
              <w:t>10</w:t>
            </w:r>
          </w:p>
        </w:tc>
        <w:tc>
          <w:tcPr>
            <w:tcW w:w="1671" w:type="dxa"/>
            <w:vAlign w:val="center"/>
          </w:tcPr>
          <w:p>
            <w:pPr>
              <w:spacing w:line="500" w:lineRule="exact"/>
              <w:jc w:val="center"/>
              <w:rPr>
                <w:color w:val="000000" w:themeColor="text1"/>
              </w:rPr>
            </w:pPr>
            <w:r>
              <w:rPr>
                <w:rFonts w:hint="eastAsia"/>
                <w:color w:val="000000" w:themeColor="text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pPr>
              <w:spacing w:line="500" w:lineRule="exact"/>
              <w:jc w:val="center"/>
              <w:rPr>
                <w:color w:val="000000" w:themeColor="text1"/>
              </w:rPr>
            </w:pPr>
            <w:r>
              <w:rPr>
                <w:rFonts w:hint="eastAsia"/>
                <w:color w:val="000000" w:themeColor="text1"/>
              </w:rPr>
              <w:t>第七层次</w:t>
            </w:r>
          </w:p>
        </w:tc>
        <w:tc>
          <w:tcPr>
            <w:tcW w:w="1521" w:type="dxa"/>
            <w:vAlign w:val="center"/>
          </w:tcPr>
          <w:p>
            <w:pPr>
              <w:spacing w:line="500" w:lineRule="exact"/>
              <w:jc w:val="center"/>
              <w:rPr>
                <w:color w:val="000000" w:themeColor="text1"/>
              </w:rPr>
            </w:pPr>
            <w:r>
              <w:rPr>
                <w:color w:val="000000" w:themeColor="text1"/>
              </w:rPr>
              <w:t>45</w:t>
            </w:r>
          </w:p>
        </w:tc>
        <w:tc>
          <w:tcPr>
            <w:tcW w:w="1614" w:type="dxa"/>
            <w:vMerge w:val="continue"/>
            <w:vAlign w:val="center"/>
          </w:tcPr>
          <w:p>
            <w:pPr>
              <w:spacing w:line="500" w:lineRule="exact"/>
              <w:jc w:val="center"/>
              <w:rPr>
                <w:color w:val="000000" w:themeColor="text1"/>
              </w:rPr>
            </w:pPr>
          </w:p>
        </w:tc>
        <w:tc>
          <w:tcPr>
            <w:tcW w:w="1416" w:type="dxa"/>
            <w:vAlign w:val="center"/>
          </w:tcPr>
          <w:p>
            <w:pPr>
              <w:spacing w:line="500" w:lineRule="exact"/>
              <w:jc w:val="center"/>
              <w:rPr>
                <w:color w:val="000000" w:themeColor="text1"/>
              </w:rPr>
            </w:pPr>
            <w:r>
              <w:rPr>
                <w:rFonts w:hint="eastAsia"/>
                <w:color w:val="000000" w:themeColor="text1"/>
              </w:rPr>
              <w:t>14</w:t>
            </w:r>
          </w:p>
        </w:tc>
        <w:tc>
          <w:tcPr>
            <w:tcW w:w="1422" w:type="dxa"/>
            <w:vAlign w:val="center"/>
          </w:tcPr>
          <w:p>
            <w:pPr>
              <w:spacing w:line="500" w:lineRule="exact"/>
              <w:jc w:val="center"/>
              <w:rPr>
                <w:color w:val="000000" w:themeColor="text1"/>
              </w:rPr>
            </w:pPr>
            <w:r>
              <w:rPr>
                <w:rFonts w:hint="eastAsia"/>
                <w:color w:val="000000" w:themeColor="text1"/>
              </w:rPr>
              <w:t>5</w:t>
            </w:r>
          </w:p>
        </w:tc>
        <w:tc>
          <w:tcPr>
            <w:tcW w:w="1671" w:type="dxa"/>
            <w:vAlign w:val="center"/>
          </w:tcPr>
          <w:p>
            <w:pPr>
              <w:spacing w:line="500" w:lineRule="exact"/>
              <w:jc w:val="center"/>
              <w:rPr>
                <w:color w:val="000000" w:themeColor="text1"/>
              </w:rPr>
            </w:pPr>
            <w:r>
              <w:rPr>
                <w:rFonts w:hint="eastAsia"/>
                <w:color w:val="000000" w:themeColor="text1"/>
              </w:rPr>
              <w:t>-</w:t>
            </w:r>
          </w:p>
          <w:p>
            <w:pPr>
              <w:spacing w:line="500" w:lineRule="exact"/>
              <w:jc w:val="center"/>
              <w:rPr>
                <w:color w:val="000000" w:themeColor="text1"/>
              </w:rPr>
            </w:pPr>
          </w:p>
          <w:p>
            <w:pPr>
              <w:spacing w:line="500" w:lineRule="exact"/>
              <w:jc w:val="cente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pPr>
              <w:spacing w:line="500" w:lineRule="exact"/>
              <w:jc w:val="center"/>
              <w:rPr>
                <w:color w:val="000000" w:themeColor="text1"/>
              </w:rPr>
            </w:pPr>
            <w:r>
              <w:rPr>
                <w:rFonts w:hint="eastAsia"/>
                <w:color w:val="000000" w:themeColor="text1"/>
              </w:rPr>
              <w:t>第八层次</w:t>
            </w:r>
          </w:p>
        </w:tc>
        <w:tc>
          <w:tcPr>
            <w:tcW w:w="1521" w:type="dxa"/>
            <w:vAlign w:val="center"/>
          </w:tcPr>
          <w:p>
            <w:pPr>
              <w:spacing w:line="500" w:lineRule="exact"/>
              <w:jc w:val="center"/>
              <w:rPr>
                <w:color w:val="000000" w:themeColor="text1"/>
              </w:rPr>
            </w:pPr>
            <w:r>
              <w:rPr>
                <w:rFonts w:hint="eastAsia"/>
                <w:color w:val="000000" w:themeColor="text1"/>
              </w:rPr>
              <w:t>25</w:t>
            </w:r>
          </w:p>
        </w:tc>
        <w:tc>
          <w:tcPr>
            <w:tcW w:w="1614" w:type="dxa"/>
            <w:vMerge w:val="continue"/>
            <w:vAlign w:val="center"/>
          </w:tcPr>
          <w:p>
            <w:pPr>
              <w:spacing w:line="500" w:lineRule="exact"/>
              <w:jc w:val="center"/>
              <w:rPr>
                <w:color w:val="000000" w:themeColor="text1"/>
              </w:rPr>
            </w:pPr>
          </w:p>
        </w:tc>
        <w:tc>
          <w:tcPr>
            <w:tcW w:w="1416" w:type="dxa"/>
            <w:vAlign w:val="center"/>
          </w:tcPr>
          <w:p>
            <w:pPr>
              <w:spacing w:line="500" w:lineRule="exact"/>
              <w:jc w:val="center"/>
              <w:rPr>
                <w:color w:val="000000" w:themeColor="text1"/>
              </w:rPr>
            </w:pPr>
            <w:r>
              <w:rPr>
                <w:rFonts w:hint="eastAsia"/>
                <w:color w:val="000000" w:themeColor="text1"/>
              </w:rPr>
              <w:t>-</w:t>
            </w:r>
          </w:p>
        </w:tc>
        <w:tc>
          <w:tcPr>
            <w:tcW w:w="1422" w:type="dxa"/>
            <w:vAlign w:val="center"/>
          </w:tcPr>
          <w:p>
            <w:pPr>
              <w:spacing w:line="500" w:lineRule="exact"/>
              <w:jc w:val="center"/>
              <w:rPr>
                <w:color w:val="000000" w:themeColor="text1"/>
              </w:rPr>
            </w:pPr>
            <w:r>
              <w:rPr>
                <w:rFonts w:hint="eastAsia"/>
                <w:color w:val="000000" w:themeColor="text1"/>
              </w:rPr>
              <w:t>-</w:t>
            </w:r>
          </w:p>
        </w:tc>
        <w:tc>
          <w:tcPr>
            <w:tcW w:w="1671" w:type="dxa"/>
            <w:vAlign w:val="center"/>
          </w:tcPr>
          <w:p>
            <w:pPr>
              <w:spacing w:line="500" w:lineRule="exact"/>
              <w:jc w:val="center"/>
              <w:rPr>
                <w:color w:val="000000" w:themeColor="text1"/>
              </w:rPr>
            </w:pPr>
            <w:r>
              <w:rPr>
                <w:rFonts w:hint="eastAsia"/>
                <w:color w:val="000000" w:themeColor="text1"/>
              </w:rPr>
              <w:t>-</w:t>
            </w:r>
          </w:p>
        </w:tc>
      </w:tr>
    </w:tbl>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第十九条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引进人才人事手续齐全后，人才津贴随工资按月发放，安家费及购房补贴在个人购房时可一次性拨付，科研启动费的使用按科研经费管理的有关规定执行。</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第二十条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夫妻双方均符合引进条件的，按各自人才层次享受待遇；夫妻双方同为博士，但一方不符合上述条件的，学校可以同时引进，不符合引进条件的一方，按照学校非教师岗位引才待遇标准（安家费15万元）执行。</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第二十一条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学校可视情况为引进人才配偶安排工作。符合上级有关政策规定的,办理调动手续,安排高校正式编制岗位；其他情况安排非正式编制工作岗位。引进人才离开学校，配偶须同时调离。</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第二十二条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符合学校专业技术岗位晋升业绩条件的人才，经专家评价等程序，来校后可直接享受相应专业技术岗位待遇；经学院（研究院）推荐，可直接参加学校当年的专业技术岗位竞聘，并按照竞聘结果确定岗位。</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第二十三条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柔性引进人才仅限于一、二、三层次人才。相关待遇根据在校工作时间和完成目标任务等情况协议确定。</w:t>
      </w:r>
    </w:p>
    <w:p>
      <w:pPr>
        <w:spacing w:line="600" w:lineRule="exact"/>
        <w:ind w:firstLine="640" w:firstLineChars="200"/>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第四章 聘期管理</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第二十四条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学校对引进人才实行聘期管理，首聘期为5年。学校、学院（研究院）、引进人才三方共同签订首聘期合同，明确聘期目标任务、引进待遇及发放方式等。</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第二十五条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引进人才服务期为十年。服务期不满的，按照合同约定退回部分待遇。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第二十六条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学校人才工作领导小组对引进人才进行首聘期期满考核，根据考核结果研究聘用意见并书面通知被考核人员及其所在学院（研究院）。</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第二十七条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首聘期期满考核结果分为合格和不合格两个等级。考核合格的，经学校、学院（研究院）与引进人才三方协商，可按新的聘用合同管理或纳入学校常规管理；考核不合格的，可给予一年延聘，如延聘期满考核仍不合格，给予转岗或者解聘处理，同时按照合同约定退回相关待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第二十八条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引进人才的某项业绩特别突出或做出特殊贡献，但未包含在聘期目标任务中，可由本人和学院（研究院）提出申请，由学校考核小组审定其考核结果。</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第二十九条</w:t>
      </w:r>
      <w:r>
        <w:rPr>
          <w:rFonts w:hint="eastAsia" w:ascii="仿宋" w:hAnsi="仿宋" w:eastAsia="仿宋" w:cs="仿宋"/>
          <w:color w:val="000000" w:themeColor="text1"/>
          <w:sz w:val="30"/>
          <w:szCs w:val="30"/>
        </w:rPr>
        <w:t xml:space="preserve">  引进人才的日常管理工作由其所在学院（研究院）负责。</w:t>
      </w:r>
    </w:p>
    <w:p>
      <w:pPr>
        <w:spacing w:line="600" w:lineRule="exact"/>
        <w:ind w:firstLine="640" w:firstLineChars="200"/>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第五章 聘期目标任务</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第三十条</w:t>
      </w:r>
      <w:r>
        <w:rPr>
          <w:rFonts w:ascii="仿宋" w:hAnsi="仿宋" w:eastAsia="仿宋" w:cs="仿宋"/>
          <w:b/>
          <w:bCs/>
          <w:color w:val="000000" w:themeColor="text1"/>
          <w:sz w:val="30"/>
          <w:szCs w:val="30"/>
        </w:rPr>
        <w:t xml:space="preserve">  </w:t>
      </w:r>
      <w:r>
        <w:rPr>
          <w:rFonts w:hint="eastAsia" w:ascii="仿宋" w:hAnsi="仿宋" w:eastAsia="仿宋" w:cs="仿宋"/>
          <w:color w:val="000000" w:themeColor="text1"/>
          <w:sz w:val="30"/>
          <w:szCs w:val="30"/>
        </w:rPr>
        <w:t>第一、二、三层次人才首聘期目标任务,由学校师资队伍建设委员会协同各学院（研究院）学术分委员会与拟引进人才协商确定。</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第三十一条  </w:t>
      </w:r>
      <w:r>
        <w:rPr>
          <w:rFonts w:hint="eastAsia" w:ascii="仿宋" w:hAnsi="仿宋" w:eastAsia="仿宋" w:cs="仿宋"/>
          <w:color w:val="000000" w:themeColor="text1"/>
          <w:sz w:val="30"/>
          <w:szCs w:val="30"/>
        </w:rPr>
        <w:t>第四层次人才首聘期内须完成下列目标的两项，或者2、3、4、5项的两倍：</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1.成为新增的省级科研创新平台负责人，或获得泰山学者特聘专家等省部级及以上人才称号。</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2.主持国家级科研项目2项(不含小额资助和无资项目)。子课题类项目到账经费理工农科不低于80万元，人文社科不低于30万元。</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3.主持横向科研项目累计到账经费不低于200万元。</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4.首位获国家级科研奖励或省部级科研奖励一、二等奖。</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5.首位（或通讯作者）在SCI一区期刊发表论文5篇或二区6篇或三区7篇或EI核心7篇；或在SSCI期刊发表论文5篇或CSSCI学科内排名前40% 5篇或CSSCI 7篇。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第三十二条  </w:t>
      </w:r>
      <w:r>
        <w:rPr>
          <w:rFonts w:hint="eastAsia" w:ascii="仿宋" w:hAnsi="仿宋" w:eastAsia="仿宋" w:cs="仿宋"/>
          <w:color w:val="000000" w:themeColor="text1"/>
          <w:sz w:val="30"/>
          <w:szCs w:val="30"/>
        </w:rPr>
        <w:t>第五层次人才首聘期内须完成下列目标的两项，或者2、3、4、5项的两倍：</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1.成为新增的市厅级科研创新平台负责人，或获得泰山学者青年专家、省突贡专家等省部级及以上人才称号。</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2.主持国家级科研项目1项、省部级教学科研项目1项(不含小额资助和无资项目)。子课题类项目到账经费理工农科不低于60万元，人文社科不低于20万元。</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3.主持横向科研项目累计到账经费不低于150万元。</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4.获国家级科研奖励前2位或省部级科研奖励一、二等奖前2、1位。</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5.首位（或通讯作者）在SCI一区期刊发表论文3篇或二区4篇或三区5篇或EI核心5篇；或在SSCI期刊发表论文4篇或CSSCI 5篇。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第三十三条  </w:t>
      </w:r>
      <w:r>
        <w:rPr>
          <w:rFonts w:hint="eastAsia" w:ascii="仿宋" w:hAnsi="仿宋" w:eastAsia="仿宋" w:cs="仿宋"/>
          <w:color w:val="000000" w:themeColor="text1"/>
          <w:sz w:val="30"/>
          <w:szCs w:val="30"/>
        </w:rPr>
        <w:t>第六层次人才首聘期内须完成下列目标的两项，或者2、3、4、5项的两倍：</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1.成为新增的市厅级科研创新平台负责人。</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2.主持国家级教学科研项目1项(不含小额资助和无资项目)。子课题类项目到账经费理工农科不低于30万元，人文社科不低于10万元。</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3.主持横向科研项目累计到账经费不低于90万元。</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4.获国家级科研奖励；或获省部级科研奖励一、二、三等奖前3、2、1位；或获省教育厅、烟台市科研成果奖二等奖首位；或获其他厅局级科研奖励一等奖首位。</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5.首位（或通讯作者）在SCI二区期刊发表论文2篇或三区3篇或四区4篇或EI核心4篇；或在SSCI期刊发表论文2篇或CSSCI 3篇。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第三十四条  </w:t>
      </w:r>
      <w:r>
        <w:rPr>
          <w:rFonts w:hint="eastAsia" w:ascii="仿宋" w:hAnsi="仿宋" w:eastAsia="仿宋" w:cs="仿宋"/>
          <w:color w:val="000000" w:themeColor="text1"/>
          <w:sz w:val="30"/>
          <w:szCs w:val="30"/>
        </w:rPr>
        <w:t>第七层次人才首聘期内须完成下列目标的两项，或者2、3、4、5项的两倍：</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1.成为新增的市厅级科研创新平台负责人。</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2.主持国家级教学科研项目1项(不含小额资助和无资项目)。子课题类项目到账经费理工农科不低于30万元，人文社科不低于10万元。</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3.主持横向科研项目累计到账经费不低于60万元。</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4.获国家级科研奖励；或获省部级科研奖励一、二、三等奖前3、2、1位；或获省教育厅、烟台市科研成果奖二等奖首位；或获其他厅局级科研奖励一等奖首位。</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5.首位（或通讯作者）在SCI二区期刊发表论文2篇或三区3篇或四区4篇或EI核心4篇；或在SSCI期刊发表论文2篇或CSSCI 3篇。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第三十五条  </w:t>
      </w:r>
      <w:r>
        <w:rPr>
          <w:rFonts w:hint="eastAsia" w:ascii="仿宋" w:hAnsi="仿宋" w:eastAsia="仿宋" w:cs="仿宋"/>
          <w:color w:val="000000" w:themeColor="text1"/>
          <w:sz w:val="30"/>
          <w:szCs w:val="30"/>
        </w:rPr>
        <w:t>第八层次人才首聘期内须完成下列目标的两项，或者2、3、4、5项的两倍：</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1.成为新增的市厅级科研创新平台负责人。</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2.主持省部级教学科研项目1项（不含无资项目)。</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3.主持横向科研项目累计到账经费不低于40万元。</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4.获国家级科研奖励；或获省部级科研奖励一、二、三等奖前3、2、1位；或获省教育厅、烟台市科研成果奖二等奖首位；或获其他厅局级科研奖励一等奖首位。</w:t>
      </w:r>
    </w:p>
    <w:p>
      <w:pPr>
        <w:spacing w:line="600" w:lineRule="exact"/>
        <w:ind w:firstLine="600" w:firstLineChars="200"/>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5.首位（或通讯作者）在SCI二区期刊发表论文1篇或三区2篇或四区3篇或EI核心3篇；或在SSCI期刊发表论文1篇或CSSCI 2篇。</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第三十六条  </w:t>
      </w:r>
      <w:r>
        <w:rPr>
          <w:rFonts w:hint="eastAsia" w:ascii="仿宋" w:hAnsi="仿宋" w:eastAsia="仿宋" w:cs="仿宋"/>
          <w:color w:val="000000" w:themeColor="text1"/>
          <w:sz w:val="30"/>
          <w:szCs w:val="30"/>
        </w:rPr>
        <w:t>目标任务各类成果除特殊说明外均须首位或通讯作者完成，第一署名单位须为鲁东大学。同一成果不得重复使用。各学院（研究院）可在上述目标任务基础上，根据实际情况提高目标任务要求。</w:t>
      </w:r>
    </w:p>
    <w:p>
      <w:pPr>
        <w:spacing w:line="600" w:lineRule="exact"/>
        <w:ind w:firstLine="640" w:firstLineChars="200"/>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第六章 引进程序</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第三十七条  </w:t>
      </w:r>
      <w:r>
        <w:rPr>
          <w:rFonts w:hint="eastAsia" w:ascii="仿宋" w:hAnsi="仿宋" w:eastAsia="仿宋" w:cs="仿宋"/>
          <w:color w:val="000000" w:themeColor="text1"/>
          <w:sz w:val="30"/>
          <w:szCs w:val="30"/>
        </w:rPr>
        <w:t>方案制定。学校根据事业发展整体需要和各单位需求，制定引进人才方案，面向社会发布引才信息。</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第三十八条</w:t>
      </w:r>
      <w:r>
        <w:rPr>
          <w:rFonts w:hint="eastAsia" w:ascii="仿宋" w:hAnsi="仿宋" w:eastAsia="仿宋" w:cs="仿宋"/>
          <w:color w:val="000000" w:themeColor="text1"/>
          <w:sz w:val="30"/>
          <w:szCs w:val="30"/>
        </w:rPr>
        <w:t xml:space="preserve">  应聘审核。符合条件的应聘人员填写《鲁东大学人才引进报名表》到各学院（研究院）报名。用人单位对应聘人员的相关信息等进行审核、评价，确定引进意向。</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第三十九条</w:t>
      </w:r>
      <w:r>
        <w:rPr>
          <w:rFonts w:hint="eastAsia" w:ascii="仿宋" w:hAnsi="仿宋" w:eastAsia="仿宋" w:cs="仿宋"/>
          <w:color w:val="000000" w:themeColor="text1"/>
          <w:sz w:val="30"/>
          <w:szCs w:val="30"/>
        </w:rPr>
        <w:t xml:space="preserve">  人才考察。各用人单位由学术分委员会和党政主要负责人等组成面试考察组对应聘人才进行考察。考察包括试讲面谈、学术讲座、审查材料等，需确认人才的政治素质、成果实绩、学术潜力、教学能力、材料真伪等。</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第四十条  </w:t>
      </w:r>
      <w:r>
        <w:rPr>
          <w:rFonts w:hint="eastAsia" w:ascii="仿宋" w:hAnsi="仿宋" w:eastAsia="仿宋" w:cs="仿宋"/>
          <w:color w:val="000000" w:themeColor="text1"/>
          <w:sz w:val="30"/>
          <w:szCs w:val="30"/>
        </w:rPr>
        <w:t>报送推荐。学院（研究院）在拟引进人员的《鲁东大学人才引进报名表》上给出考察意见，与证明其引进层次的材料、《拟引进人员体检表》一并报送至学校人事处（人才办）。考察意见包括学术分委员会意见、党总支思想政治鉴定、学院（研究院）意见及确定的人才层次等；证明材料包括身份证复印件、学历学位证书（国外学历学位认证书）、论文检索、聘书、就业推荐表、项目书、获奖证书等；体检原则上应在鲁东大学校医院进行。</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第四十一条</w:t>
      </w:r>
      <w:r>
        <w:rPr>
          <w:rFonts w:hint="eastAsia" w:ascii="仿宋" w:hAnsi="仿宋" w:eastAsia="仿宋" w:cs="仿宋"/>
          <w:color w:val="000000" w:themeColor="text1"/>
          <w:sz w:val="30"/>
          <w:szCs w:val="30"/>
        </w:rPr>
        <w:t xml:space="preserve">  审核公示。由学校人才工作领导小组组织相关部门对拟引进第一、二、三、四、五层次人才的学科方向、学术成果、引进可行性、聘期目标任务等进行论证；人才工作领导小组办公室负责对其余人才情况进行审核，并按照山东省事业单位公开招聘的相关规定，在学校网站进行公示。</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第四十二条</w:t>
      </w:r>
      <w:r>
        <w:rPr>
          <w:rFonts w:hint="eastAsia" w:ascii="仿宋" w:hAnsi="仿宋" w:eastAsia="仿宋" w:cs="仿宋"/>
          <w:color w:val="000000" w:themeColor="text1"/>
          <w:sz w:val="30"/>
          <w:szCs w:val="30"/>
        </w:rPr>
        <w:t xml:space="preserve">  研究聘用。公示期无异议的拟聘用人才，学校与之签订就业协议书或意向引进协议。并经上级人事主管部门核准，办理《省属事业单位公开招聘人员备案通知书》或人事调动手续。</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第四十三条</w:t>
      </w:r>
      <w:r>
        <w:rPr>
          <w:rFonts w:hint="eastAsia" w:ascii="仿宋" w:hAnsi="仿宋" w:eastAsia="仿宋" w:cs="仿宋"/>
          <w:color w:val="000000" w:themeColor="text1"/>
          <w:sz w:val="30"/>
          <w:szCs w:val="30"/>
        </w:rPr>
        <w:t xml:space="preserve">  报到履职。相关手续办理完毕的拟聘用人才，可凭报到证或行政介绍信到校报到履职，同时与学校签订首聘期聘用合同。</w:t>
      </w:r>
    </w:p>
    <w:p>
      <w:pPr>
        <w:spacing w:line="600" w:lineRule="exact"/>
        <w:ind w:firstLine="640" w:firstLineChars="200"/>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第七章 其他需要说明的问题</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第四十四条  </w:t>
      </w:r>
      <w:r>
        <w:rPr>
          <w:rFonts w:hint="eastAsia" w:ascii="仿宋" w:hAnsi="仿宋" w:eastAsia="仿宋" w:cs="仿宋"/>
          <w:color w:val="000000" w:themeColor="text1"/>
          <w:sz w:val="30"/>
          <w:szCs w:val="30"/>
        </w:rPr>
        <w:t>海外全球TOP200高校排名以山东省最新认定为准。</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第四十五条  </w:t>
      </w:r>
      <w:r>
        <w:rPr>
          <w:rFonts w:hint="eastAsia" w:ascii="仿宋" w:hAnsi="仿宋" w:eastAsia="仿宋" w:cs="仿宋"/>
          <w:color w:val="000000" w:themeColor="text1"/>
          <w:sz w:val="30"/>
          <w:szCs w:val="30"/>
        </w:rPr>
        <w:t>教学科研业绩的认定由教务处、科技处、社科处、研究生院负责解释。</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第四十六条  </w:t>
      </w:r>
      <w:r>
        <w:rPr>
          <w:rFonts w:hint="eastAsia" w:ascii="仿宋" w:hAnsi="仿宋" w:eastAsia="仿宋" w:cs="仿宋"/>
          <w:color w:val="000000" w:themeColor="text1"/>
          <w:sz w:val="30"/>
          <w:szCs w:val="30"/>
        </w:rPr>
        <w:t>享受人才津贴的高层次人才，首聘期合同目标任务内的各项教学科研项目、成果等，学校不再发放绩效成果奖励，超额完成部分可在首聘期期满考核合格后享受取得成果当年的校内绩效成果奖励。</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第四十七条  </w:t>
      </w:r>
      <w:r>
        <w:rPr>
          <w:rFonts w:hint="eastAsia" w:ascii="仿宋" w:hAnsi="仿宋" w:eastAsia="仿宋" w:cs="仿宋"/>
          <w:color w:val="000000" w:themeColor="text1"/>
          <w:sz w:val="30"/>
          <w:szCs w:val="30"/>
        </w:rPr>
        <w:t>本办法适用于学校教师岗位的人才引进。引进的非教师岗位人才，聘期目标任务按其从事岗位工作性质及相关规定执行。</w:t>
      </w:r>
    </w:p>
    <w:p>
      <w:pPr>
        <w:spacing w:line="600" w:lineRule="exact"/>
        <w:ind w:firstLine="640" w:firstLineChars="200"/>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第八章 组织领导</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第四十八条  </w:t>
      </w:r>
      <w:r>
        <w:rPr>
          <w:rFonts w:hint="eastAsia" w:ascii="仿宋" w:hAnsi="仿宋" w:eastAsia="仿宋" w:cs="仿宋"/>
          <w:color w:val="000000" w:themeColor="text1"/>
          <w:sz w:val="30"/>
          <w:szCs w:val="30"/>
        </w:rPr>
        <w:t>学校人才工作领导小组统筹全校人才引进与管理工作，人事处（人才办）负责考察、公示、聘用等的组织协调工作，相关部门和用人单位共同做好人才进校前后的各项服务管理工作。</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第四十九条  </w:t>
      </w:r>
      <w:r>
        <w:rPr>
          <w:rFonts w:hint="eastAsia" w:ascii="仿宋" w:hAnsi="仿宋" w:eastAsia="仿宋" w:cs="仿宋"/>
          <w:color w:val="000000" w:themeColor="text1"/>
          <w:sz w:val="30"/>
          <w:szCs w:val="30"/>
        </w:rPr>
        <w:t>用人单位党政一把手同时作为本单位人才引进工作的直接责任人，各用人单位要建立由学术分委员会与党政领导共同考察、党政联席会集体研究的引进人才工作机制，做好引进人才的层次认定、面试评价、政治考核、材料报送、身体检查等工作，并及时与人事处（人才办）沟通相关信息。</w:t>
      </w:r>
    </w:p>
    <w:p>
      <w:pPr>
        <w:spacing w:line="600" w:lineRule="exact"/>
        <w:ind w:firstLine="640" w:firstLineChars="200"/>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第九章 附则</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第五十条  </w:t>
      </w:r>
      <w:r>
        <w:rPr>
          <w:rFonts w:hint="eastAsia" w:ascii="仿宋" w:hAnsi="仿宋" w:eastAsia="仿宋" w:cs="仿宋"/>
          <w:color w:val="000000" w:themeColor="text1"/>
          <w:sz w:val="30"/>
          <w:szCs w:val="30"/>
        </w:rPr>
        <w:t>本办法自公布之日起执行。按原《鲁东大学人才引进与管理办法》（鲁大校发〔2017〕7号）文件引进的人才，引进待遇、考核等事项仍按原文件执行。</w:t>
      </w:r>
    </w:p>
    <w:p>
      <w:pPr>
        <w:spacing w:line="600" w:lineRule="exact"/>
        <w:ind w:firstLine="602" w:firstLineChars="200"/>
        <w:rPr>
          <w:rFonts w:ascii="仿宋" w:hAnsi="仿宋" w:eastAsia="仿宋" w:cs="仿宋"/>
          <w:color w:val="000000" w:themeColor="text1"/>
          <w:sz w:val="30"/>
          <w:szCs w:val="30"/>
        </w:rPr>
      </w:pPr>
      <w:r>
        <w:rPr>
          <w:rFonts w:hint="eastAsia" w:ascii="仿宋" w:hAnsi="仿宋" w:eastAsia="仿宋" w:cs="仿宋"/>
          <w:b/>
          <w:bCs/>
          <w:color w:val="000000" w:themeColor="text1"/>
          <w:sz w:val="30"/>
          <w:szCs w:val="30"/>
        </w:rPr>
        <w:t xml:space="preserve">第五十一条  </w:t>
      </w:r>
      <w:r>
        <w:rPr>
          <w:rFonts w:hint="eastAsia" w:ascii="仿宋" w:hAnsi="仿宋" w:eastAsia="仿宋" w:cs="仿宋"/>
          <w:color w:val="000000" w:themeColor="text1"/>
          <w:sz w:val="30"/>
          <w:szCs w:val="30"/>
        </w:rPr>
        <w:t>本办法由人事处（人才办）负责解释。</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4928680"/>
      <w:docPartObj>
        <w:docPartGallery w:val="AutoText"/>
      </w:docPartObj>
    </w:sdtPr>
    <w:sdtContent>
      <w:p>
        <w:pPr>
          <w:pStyle w:val="3"/>
          <w:jc w:val="center"/>
          <w:rPr>
            <w:lang w:val="zh-CN"/>
          </w:rPr>
        </w:pPr>
        <w:r>
          <w:t>—</w:t>
        </w:r>
        <w:r>
          <w:fldChar w:fldCharType="begin"/>
        </w:r>
        <w:r>
          <w:instrText xml:space="preserve"> PAGE   \* MERGEFORMAT </w:instrText>
        </w:r>
        <w:r>
          <w:fldChar w:fldCharType="separate"/>
        </w:r>
        <w:r>
          <w:rPr>
            <w:lang w:val="zh-CN"/>
          </w:rPr>
          <w:t>4</w:t>
        </w:r>
        <w:r>
          <w:rPr>
            <w:lang w:val="zh-CN"/>
          </w:rPr>
          <w:fldChar w:fldCharType="end"/>
        </w:r>
        <w:r>
          <w:rPr>
            <w:lang w:val="zh-CN"/>
          </w:rPr>
          <w:t>—</w:t>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E94AF1"/>
    <w:rsid w:val="00002A6A"/>
    <w:rsid w:val="000103D3"/>
    <w:rsid w:val="0001062F"/>
    <w:rsid w:val="00015B00"/>
    <w:rsid w:val="00021A69"/>
    <w:rsid w:val="00031842"/>
    <w:rsid w:val="00033BF7"/>
    <w:rsid w:val="00035B01"/>
    <w:rsid w:val="000545DA"/>
    <w:rsid w:val="000625C2"/>
    <w:rsid w:val="000820F9"/>
    <w:rsid w:val="000B5B20"/>
    <w:rsid w:val="000B7A70"/>
    <w:rsid w:val="000C3A8C"/>
    <w:rsid w:val="000C7AE8"/>
    <w:rsid w:val="000D010A"/>
    <w:rsid w:val="000E047F"/>
    <w:rsid w:val="000F4B18"/>
    <w:rsid w:val="000F6534"/>
    <w:rsid w:val="00101C66"/>
    <w:rsid w:val="001055B2"/>
    <w:rsid w:val="00106CC8"/>
    <w:rsid w:val="001222AB"/>
    <w:rsid w:val="00137BCC"/>
    <w:rsid w:val="00147033"/>
    <w:rsid w:val="00151319"/>
    <w:rsid w:val="00180EDF"/>
    <w:rsid w:val="001A2194"/>
    <w:rsid w:val="001B78EB"/>
    <w:rsid w:val="001E6057"/>
    <w:rsid w:val="001E7069"/>
    <w:rsid w:val="001E7DCE"/>
    <w:rsid w:val="001F0AFB"/>
    <w:rsid w:val="001F38D4"/>
    <w:rsid w:val="00214FD9"/>
    <w:rsid w:val="002420D0"/>
    <w:rsid w:val="002519F8"/>
    <w:rsid w:val="002555A5"/>
    <w:rsid w:val="002856F7"/>
    <w:rsid w:val="00286A0B"/>
    <w:rsid w:val="00290500"/>
    <w:rsid w:val="00292C20"/>
    <w:rsid w:val="002A1F75"/>
    <w:rsid w:val="002A2CE9"/>
    <w:rsid w:val="002A51B3"/>
    <w:rsid w:val="002C00AB"/>
    <w:rsid w:val="002C0121"/>
    <w:rsid w:val="002D24E1"/>
    <w:rsid w:val="002D355F"/>
    <w:rsid w:val="002D4F67"/>
    <w:rsid w:val="0030565A"/>
    <w:rsid w:val="00311C3B"/>
    <w:rsid w:val="00312D8E"/>
    <w:rsid w:val="00314D16"/>
    <w:rsid w:val="003313D3"/>
    <w:rsid w:val="0033395A"/>
    <w:rsid w:val="003353B6"/>
    <w:rsid w:val="003415A4"/>
    <w:rsid w:val="003451A5"/>
    <w:rsid w:val="0036149B"/>
    <w:rsid w:val="00362017"/>
    <w:rsid w:val="003679A7"/>
    <w:rsid w:val="00371D61"/>
    <w:rsid w:val="003860B3"/>
    <w:rsid w:val="003A1A04"/>
    <w:rsid w:val="003B2110"/>
    <w:rsid w:val="003B330A"/>
    <w:rsid w:val="003B3EB4"/>
    <w:rsid w:val="003C04FD"/>
    <w:rsid w:val="003C3FDA"/>
    <w:rsid w:val="003E1643"/>
    <w:rsid w:val="003F6816"/>
    <w:rsid w:val="00401F54"/>
    <w:rsid w:val="0040347F"/>
    <w:rsid w:val="00404DF1"/>
    <w:rsid w:val="0041010D"/>
    <w:rsid w:val="00416D26"/>
    <w:rsid w:val="00423DE0"/>
    <w:rsid w:val="00430288"/>
    <w:rsid w:val="004326B3"/>
    <w:rsid w:val="004549D4"/>
    <w:rsid w:val="00471A03"/>
    <w:rsid w:val="00473426"/>
    <w:rsid w:val="00473D7D"/>
    <w:rsid w:val="0047705D"/>
    <w:rsid w:val="0048039E"/>
    <w:rsid w:val="0048466C"/>
    <w:rsid w:val="004873DE"/>
    <w:rsid w:val="0049394E"/>
    <w:rsid w:val="004A45CD"/>
    <w:rsid w:val="004B5155"/>
    <w:rsid w:val="004B7975"/>
    <w:rsid w:val="004D6A10"/>
    <w:rsid w:val="004E6BF4"/>
    <w:rsid w:val="00515B89"/>
    <w:rsid w:val="00521BA2"/>
    <w:rsid w:val="0052246D"/>
    <w:rsid w:val="00533996"/>
    <w:rsid w:val="00542275"/>
    <w:rsid w:val="0054246F"/>
    <w:rsid w:val="005723B1"/>
    <w:rsid w:val="00576306"/>
    <w:rsid w:val="00585429"/>
    <w:rsid w:val="005867D2"/>
    <w:rsid w:val="00591648"/>
    <w:rsid w:val="00595C35"/>
    <w:rsid w:val="005A3606"/>
    <w:rsid w:val="005A6C58"/>
    <w:rsid w:val="005A7A86"/>
    <w:rsid w:val="005B112C"/>
    <w:rsid w:val="005C2928"/>
    <w:rsid w:val="005C4A1B"/>
    <w:rsid w:val="005E6F30"/>
    <w:rsid w:val="005F211C"/>
    <w:rsid w:val="005F52DE"/>
    <w:rsid w:val="0060021A"/>
    <w:rsid w:val="006069D5"/>
    <w:rsid w:val="0061009A"/>
    <w:rsid w:val="00612A3C"/>
    <w:rsid w:val="00635944"/>
    <w:rsid w:val="006638A0"/>
    <w:rsid w:val="00685601"/>
    <w:rsid w:val="00692BED"/>
    <w:rsid w:val="006A0FCF"/>
    <w:rsid w:val="006B00DC"/>
    <w:rsid w:val="006B136F"/>
    <w:rsid w:val="006C0849"/>
    <w:rsid w:val="006C661F"/>
    <w:rsid w:val="006E2FCF"/>
    <w:rsid w:val="006E516E"/>
    <w:rsid w:val="006F6F8E"/>
    <w:rsid w:val="00706463"/>
    <w:rsid w:val="00730B07"/>
    <w:rsid w:val="00775E9A"/>
    <w:rsid w:val="007766CF"/>
    <w:rsid w:val="00783B38"/>
    <w:rsid w:val="007E7023"/>
    <w:rsid w:val="0081555D"/>
    <w:rsid w:val="00821057"/>
    <w:rsid w:val="00830750"/>
    <w:rsid w:val="00836982"/>
    <w:rsid w:val="008447B5"/>
    <w:rsid w:val="008472A1"/>
    <w:rsid w:val="00850720"/>
    <w:rsid w:val="00866CE8"/>
    <w:rsid w:val="00867B98"/>
    <w:rsid w:val="00872F3E"/>
    <w:rsid w:val="00881BFA"/>
    <w:rsid w:val="008A2933"/>
    <w:rsid w:val="008B4D40"/>
    <w:rsid w:val="008B5B15"/>
    <w:rsid w:val="008B719B"/>
    <w:rsid w:val="008B7536"/>
    <w:rsid w:val="008C5AAF"/>
    <w:rsid w:val="008C7F27"/>
    <w:rsid w:val="008D05C1"/>
    <w:rsid w:val="008D0FA5"/>
    <w:rsid w:val="008E0B7B"/>
    <w:rsid w:val="008E2BDA"/>
    <w:rsid w:val="008F1F2E"/>
    <w:rsid w:val="008F49B7"/>
    <w:rsid w:val="008F4AC0"/>
    <w:rsid w:val="008F57AC"/>
    <w:rsid w:val="0090264E"/>
    <w:rsid w:val="00905E08"/>
    <w:rsid w:val="00906312"/>
    <w:rsid w:val="0090795A"/>
    <w:rsid w:val="009214FF"/>
    <w:rsid w:val="009221AE"/>
    <w:rsid w:val="00923C6E"/>
    <w:rsid w:val="00930E35"/>
    <w:rsid w:val="00936586"/>
    <w:rsid w:val="009514CF"/>
    <w:rsid w:val="00960CBE"/>
    <w:rsid w:val="009717EC"/>
    <w:rsid w:val="00972C13"/>
    <w:rsid w:val="009A2AA0"/>
    <w:rsid w:val="009A52DD"/>
    <w:rsid w:val="009B53F9"/>
    <w:rsid w:val="009C30C1"/>
    <w:rsid w:val="009D541E"/>
    <w:rsid w:val="009D5FB9"/>
    <w:rsid w:val="00A02C5E"/>
    <w:rsid w:val="00A05CE5"/>
    <w:rsid w:val="00A14DF3"/>
    <w:rsid w:val="00A36A09"/>
    <w:rsid w:val="00A370C0"/>
    <w:rsid w:val="00A5085B"/>
    <w:rsid w:val="00A515E7"/>
    <w:rsid w:val="00A572E0"/>
    <w:rsid w:val="00A651B3"/>
    <w:rsid w:val="00A74DA8"/>
    <w:rsid w:val="00AB7337"/>
    <w:rsid w:val="00AB7350"/>
    <w:rsid w:val="00AB7E96"/>
    <w:rsid w:val="00AD3545"/>
    <w:rsid w:val="00AE098D"/>
    <w:rsid w:val="00AF6169"/>
    <w:rsid w:val="00B05144"/>
    <w:rsid w:val="00B13872"/>
    <w:rsid w:val="00B60340"/>
    <w:rsid w:val="00B63F8D"/>
    <w:rsid w:val="00B754C3"/>
    <w:rsid w:val="00BC2568"/>
    <w:rsid w:val="00BC26AB"/>
    <w:rsid w:val="00BC5947"/>
    <w:rsid w:val="00BC5973"/>
    <w:rsid w:val="00BC61F3"/>
    <w:rsid w:val="00BD1FC9"/>
    <w:rsid w:val="00BF4A42"/>
    <w:rsid w:val="00C0037F"/>
    <w:rsid w:val="00C021D7"/>
    <w:rsid w:val="00C10E47"/>
    <w:rsid w:val="00C2486D"/>
    <w:rsid w:val="00C35245"/>
    <w:rsid w:val="00C6353D"/>
    <w:rsid w:val="00C946CF"/>
    <w:rsid w:val="00C976E5"/>
    <w:rsid w:val="00CA0BD3"/>
    <w:rsid w:val="00CA1D90"/>
    <w:rsid w:val="00CA3227"/>
    <w:rsid w:val="00CB1024"/>
    <w:rsid w:val="00CB5A19"/>
    <w:rsid w:val="00CD718B"/>
    <w:rsid w:val="00CE3BDD"/>
    <w:rsid w:val="00CE64D8"/>
    <w:rsid w:val="00CF107F"/>
    <w:rsid w:val="00CF4607"/>
    <w:rsid w:val="00CF7E9C"/>
    <w:rsid w:val="00D02FF1"/>
    <w:rsid w:val="00D040B7"/>
    <w:rsid w:val="00D4041D"/>
    <w:rsid w:val="00D43E3C"/>
    <w:rsid w:val="00D60AD2"/>
    <w:rsid w:val="00D722BA"/>
    <w:rsid w:val="00D76C63"/>
    <w:rsid w:val="00D8041D"/>
    <w:rsid w:val="00D903A5"/>
    <w:rsid w:val="00DB772C"/>
    <w:rsid w:val="00DD728E"/>
    <w:rsid w:val="00E05B9E"/>
    <w:rsid w:val="00E07701"/>
    <w:rsid w:val="00E07F70"/>
    <w:rsid w:val="00E10D27"/>
    <w:rsid w:val="00E12863"/>
    <w:rsid w:val="00E22298"/>
    <w:rsid w:val="00E30E57"/>
    <w:rsid w:val="00E65F55"/>
    <w:rsid w:val="00E80CB8"/>
    <w:rsid w:val="00E87688"/>
    <w:rsid w:val="00E94036"/>
    <w:rsid w:val="00E94CF4"/>
    <w:rsid w:val="00EA029D"/>
    <w:rsid w:val="00EA0916"/>
    <w:rsid w:val="00EA0D7A"/>
    <w:rsid w:val="00EC07F3"/>
    <w:rsid w:val="00ED0865"/>
    <w:rsid w:val="00ED3785"/>
    <w:rsid w:val="00F002AD"/>
    <w:rsid w:val="00F04ECA"/>
    <w:rsid w:val="00F20401"/>
    <w:rsid w:val="00F473E1"/>
    <w:rsid w:val="00F55877"/>
    <w:rsid w:val="00F72771"/>
    <w:rsid w:val="00F77860"/>
    <w:rsid w:val="00F77C41"/>
    <w:rsid w:val="00F80275"/>
    <w:rsid w:val="00F82174"/>
    <w:rsid w:val="00F82C5E"/>
    <w:rsid w:val="00FD0826"/>
    <w:rsid w:val="00FD1620"/>
    <w:rsid w:val="00FF70F4"/>
    <w:rsid w:val="0DED572F"/>
    <w:rsid w:val="104E2481"/>
    <w:rsid w:val="152C096A"/>
    <w:rsid w:val="1D462D22"/>
    <w:rsid w:val="22E94AF1"/>
    <w:rsid w:val="22FF6B72"/>
    <w:rsid w:val="29A6441A"/>
    <w:rsid w:val="2B4B1E80"/>
    <w:rsid w:val="327F67F9"/>
    <w:rsid w:val="338F20C1"/>
    <w:rsid w:val="374325A1"/>
    <w:rsid w:val="38DA3606"/>
    <w:rsid w:val="3B9843DE"/>
    <w:rsid w:val="46097514"/>
    <w:rsid w:val="4CFC37DF"/>
    <w:rsid w:val="4F222146"/>
    <w:rsid w:val="524C571D"/>
    <w:rsid w:val="5D0F0AD2"/>
    <w:rsid w:val="5DD070AA"/>
    <w:rsid w:val="5F6D1F34"/>
    <w:rsid w:val="616B3865"/>
    <w:rsid w:val="61F76C67"/>
    <w:rsid w:val="67FA3C8B"/>
    <w:rsid w:val="6CBD0ABD"/>
    <w:rsid w:val="7CA60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8"/>
    <w:uiPriority w:val="99"/>
    <w:pPr>
      <w:tabs>
        <w:tab w:val="center" w:pos="4153"/>
        <w:tab w:val="right" w:pos="8306"/>
      </w:tabs>
      <w:snapToGrid w:val="0"/>
      <w:jc w:val="left"/>
    </w:pPr>
    <w:rPr>
      <w:sz w:val="18"/>
      <w:szCs w:val="18"/>
    </w:rPr>
  </w:style>
  <w:style w:type="paragraph" w:styleId="4">
    <w:name w:val="header"/>
    <w:basedOn w:val="1"/>
    <w:link w:val="7"/>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rFonts w:eastAsiaTheme="minorEastAsia"/>
      <w:kern w:val="2"/>
      <w:sz w:val="18"/>
      <w:szCs w:val="18"/>
    </w:rPr>
  </w:style>
  <w:style w:type="character" w:customStyle="1" w:styleId="8">
    <w:name w:val="页脚 Char"/>
    <w:basedOn w:val="6"/>
    <w:link w:val="3"/>
    <w:uiPriority w:val="99"/>
    <w:rPr>
      <w:rFonts w:eastAsiaTheme="minorEastAsia"/>
      <w:kern w:val="2"/>
      <w:sz w:val="18"/>
      <w:szCs w:val="18"/>
    </w:rPr>
  </w:style>
  <w:style w:type="character" w:customStyle="1" w:styleId="9">
    <w:name w:val="批注框文本 Char"/>
    <w:basedOn w:val="6"/>
    <w:link w:val="2"/>
    <w:uiPriority w:val="0"/>
    <w:rPr>
      <w:rFonts w:eastAsiaTheme="minorEastAsia"/>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E5B33B-A904-44B3-B69A-86224399F6C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967</Words>
  <Characters>5515</Characters>
  <Lines>45</Lines>
  <Paragraphs>12</Paragraphs>
  <TotalTime>496</TotalTime>
  <ScaleCrop>false</ScaleCrop>
  <LinksUpToDate>false</LinksUpToDate>
  <CharactersWithSpaces>6470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2020-01-06T01:02:00Z</dcterms:created>
  <dc:creator>Administrator</dc:creator>
  <cp:lastModifiedBy>ぺ灬cc果冻ル</cp:lastModifiedBy>
  <cp:lastPrinted>2020-01-08T03:31:00Z</cp:lastPrinted>
  <dcterms:modified xsi:type="dcterms:W3CDTF">2020-02-27T02:10:21Z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