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Pr="00272E71" w:rsidRDefault="00272E71" w:rsidP="00272E71">
      <w:pPr>
        <w:ind w:firstLine="562"/>
        <w:jc w:val="center"/>
        <w:rPr>
          <w:rFonts w:ascii="microsoft yahei" w:eastAsia="宋体" w:hAnsi="microsoft yahei" w:cs="宋体" w:hint="eastAsia"/>
          <w:b/>
          <w:color w:val="333333"/>
          <w:kern w:val="0"/>
          <w:sz w:val="28"/>
          <w:szCs w:val="28"/>
        </w:rPr>
      </w:pPr>
      <w:r w:rsidRPr="00272E71">
        <w:rPr>
          <w:rFonts w:ascii="Tahoma" w:hAnsi="Tahoma" w:cs="Tahoma"/>
          <w:b/>
          <w:color w:val="000000"/>
          <w:sz w:val="28"/>
          <w:szCs w:val="28"/>
        </w:rPr>
        <w:t>招聘职位列表</w:t>
      </w:r>
    </w:p>
    <w:tbl>
      <w:tblPr>
        <w:tblW w:w="9350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934"/>
        <w:gridCol w:w="844"/>
        <w:gridCol w:w="220"/>
        <w:gridCol w:w="995"/>
        <w:gridCol w:w="69"/>
        <w:gridCol w:w="488"/>
        <w:gridCol w:w="384"/>
        <w:gridCol w:w="2029"/>
        <w:gridCol w:w="2029"/>
        <w:gridCol w:w="240"/>
        <w:gridCol w:w="13"/>
        <w:gridCol w:w="154"/>
        <w:gridCol w:w="99"/>
        <w:gridCol w:w="167"/>
        <w:gridCol w:w="685"/>
      </w:tblGrid>
      <w:tr w:rsidR="00272E71" w:rsidRPr="00272E71" w:rsidTr="00272E71">
        <w:trPr>
          <w:trHeight w:val="300"/>
        </w:trPr>
        <w:tc>
          <w:tcPr>
            <w:tcW w:w="0" w:type="auto"/>
            <w:gridSpan w:val="3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单位</w:t>
            </w:r>
          </w:p>
        </w:tc>
        <w:tc>
          <w:tcPr>
            <w:tcW w:w="0" w:type="auto"/>
            <w:gridSpan w:val="2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职位名称</w:t>
            </w:r>
          </w:p>
        </w:tc>
        <w:tc>
          <w:tcPr>
            <w:tcW w:w="0" w:type="auto"/>
            <w:gridSpan w:val="2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职位类别</w:t>
            </w:r>
          </w:p>
        </w:tc>
        <w:tc>
          <w:tcPr>
            <w:tcW w:w="0" w:type="auto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专业方向</w:t>
            </w:r>
          </w:p>
        </w:tc>
        <w:tc>
          <w:tcPr>
            <w:tcW w:w="0" w:type="auto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需求人数</w:t>
            </w:r>
          </w:p>
        </w:tc>
        <w:tc>
          <w:tcPr>
            <w:tcW w:w="0" w:type="auto"/>
            <w:gridSpan w:val="6"/>
            <w:shd w:val="clear" w:color="auto" w:fill="EFEFE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需求层次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碧泉书院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?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哲学与历史文化学院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JS01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哲学、中国史、世界史、社会学、政治学、工商管理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商学院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JS02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理论经济学、应用经济学、工商管理、统计学、管理科学与工程、计算机科学与技术、工商管理、人文地理、心理学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公共管理学院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JS03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公共管理、哲学、法学、政治学、社会学、管理科学与工程、工商管理、图书情报与档案管理、新闻传播学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法学院、知识产权学院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JS04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法学、知识产权、马克思主义理论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信用风险管理学院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JS05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法学、应用经济学、外国语言文学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马克思主义学院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JS06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马克思主义理论、哲学、理论经济学、应用经济学、法学、政治学、社会学、民族学、历史学、公共管理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文学与新闻学院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JS07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中国语言文学、新闻传播学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外国语学院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JS08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英语语言文学、外国语言学及应用语言学、法语语言文学、德语语言文学、日语语言文学、西班牙语语言文学、语言学及应用语言学、比较文学与世界文学、国际关系、外交学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艺术学院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JS09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美术学类、设计学类、戏剧与影视学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物理与光电工程学院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JS11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物理学、天文学、光学工程、电子科学与技术、仪器科学与技术、材料科学与工程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数学与计算科学学院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JS10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数学、统计学、数据科学与大数据技术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材料科学与工程学院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JS12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材料科学与工程、力学、电子科学与技术、物理学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化学学院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JS13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8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化学、化学工程与技术、冶金物理化学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化工学院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JS14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6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化学工程与技术、食品科学与工程、园艺学、材料科学与工程、药学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机械工程学院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JS15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普通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机械工程、材料科学与工程、动力工程及工程热物理、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化学工程与技术、力学、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设计学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lastRenderedPageBreak/>
              <w:t>计算机学院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?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网络空间安全学院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JS16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计算机科学与技术、软件工程、数学、网络空间安全、物理学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自动化与电子信息学院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JS17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信息与通信工程、控制科学与工程、电气工程、数学、测绘科学与技术、光学工程、物理学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土木工程与力学学院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JS18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土木工程、测绘科学与技术、力学、防灾减灾工程及防护工程、结构工程、桥梁与隧道工程、工程管理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环境与资源学院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JS19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环境科学与工程、矿业工程、安全科学与工程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  <w:tr w:rsidR="00272E71" w:rsidRPr="00272E71" w:rsidTr="00272E71">
        <w:trPr>
          <w:trHeight w:val="300"/>
        </w:trPr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湖南先进传感与信息技术创新研究院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专任教师（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JS20</w:t>
            </w: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普通教师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物理学、化学、材料科学与工程、电子科学与技术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CCCCC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272E71" w:rsidRPr="00272E71" w:rsidRDefault="00272E71" w:rsidP="00272E71">
            <w:pPr>
              <w:widowControl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272E71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副教授以上或博士</w:t>
            </w:r>
          </w:p>
        </w:tc>
      </w:tr>
    </w:tbl>
    <w:p w:rsidR="00272E71" w:rsidRDefault="00272E71" w:rsidP="00272E71">
      <w:pPr>
        <w:ind w:firstLine="420"/>
      </w:pPr>
    </w:p>
    <w:sectPr w:rsidR="00272E71" w:rsidSect="00272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2E71"/>
    <w:rsid w:val="00272E71"/>
    <w:rsid w:val="00545E08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3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2020-03-17T00:57:00Z</dcterms:created>
  <dcterms:modified xsi:type="dcterms:W3CDTF">2020-03-17T01:13:00Z</dcterms:modified>
</cp:coreProperties>
</file>