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125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955"/>
        <w:gridCol w:w="5997"/>
        <w:gridCol w:w="3298"/>
      </w:tblGrid>
      <w:tr w:rsidR="00AB68F0" w:rsidRPr="00AB68F0" w:rsidTr="00AB68F0">
        <w:trPr>
          <w:tblCellSpacing w:w="0" w:type="dxa"/>
          <w:jc w:val="center"/>
        </w:trPr>
        <w:tc>
          <w:tcPr>
            <w:tcW w:w="1515" w:type="dxa"/>
            <w:tcBorders>
              <w:top w:val="outset" w:sz="6" w:space="0" w:color="auto"/>
              <w:left w:val="outset" w:sz="6" w:space="0" w:color="auto"/>
              <w:bottom w:val="outset" w:sz="6" w:space="0" w:color="auto"/>
              <w:right w:val="outset" w:sz="6" w:space="0" w:color="auto"/>
            </w:tcBorders>
            <w:vAlign w:val="center"/>
            <w:hideMark/>
          </w:tcPr>
          <w:p w:rsidR="00AB68F0" w:rsidRPr="00AB68F0" w:rsidRDefault="00AB68F0" w:rsidP="00AB68F0">
            <w:pPr>
              <w:adjustRightInd/>
              <w:snapToGrid/>
              <w:spacing w:after="0" w:line="360" w:lineRule="atLeast"/>
              <w:jc w:val="center"/>
              <w:rPr>
                <w:rFonts w:ascii="宋体" w:eastAsia="宋体" w:hAnsi="宋体" w:cs="Arial"/>
                <w:color w:val="222222"/>
                <w:sz w:val="21"/>
                <w:szCs w:val="21"/>
              </w:rPr>
            </w:pPr>
            <w:r w:rsidRPr="00AB68F0">
              <w:rPr>
                <w:rFonts w:ascii="宋体" w:eastAsia="宋体" w:hAnsi="宋体" w:cs="Arial" w:hint="eastAsia"/>
                <w:b/>
                <w:bCs/>
                <w:color w:val="222222"/>
                <w:sz w:val="21"/>
              </w:rPr>
              <w:t>人才层次</w:t>
            </w:r>
          </w:p>
        </w:tc>
        <w:tc>
          <w:tcPr>
            <w:tcW w:w="4530" w:type="dxa"/>
            <w:tcBorders>
              <w:top w:val="outset" w:sz="6" w:space="0" w:color="auto"/>
              <w:left w:val="outset" w:sz="6" w:space="0" w:color="auto"/>
              <w:bottom w:val="outset" w:sz="6" w:space="0" w:color="auto"/>
              <w:right w:val="outset" w:sz="6" w:space="0" w:color="auto"/>
            </w:tcBorders>
            <w:vAlign w:val="center"/>
            <w:hideMark/>
          </w:tcPr>
          <w:p w:rsidR="00AB68F0" w:rsidRPr="00AB68F0" w:rsidRDefault="00AB68F0" w:rsidP="00AB68F0">
            <w:pPr>
              <w:adjustRightInd/>
              <w:snapToGrid/>
              <w:spacing w:after="0" w:line="360" w:lineRule="atLeast"/>
              <w:jc w:val="center"/>
              <w:rPr>
                <w:rFonts w:ascii="宋体" w:eastAsia="宋体" w:hAnsi="宋体" w:cs="Arial"/>
                <w:color w:val="222222"/>
                <w:sz w:val="21"/>
                <w:szCs w:val="21"/>
              </w:rPr>
            </w:pPr>
            <w:r w:rsidRPr="00AB68F0">
              <w:rPr>
                <w:rFonts w:ascii="宋体" w:eastAsia="宋体" w:hAnsi="宋体" w:cs="Arial" w:hint="eastAsia"/>
                <w:b/>
                <w:bCs/>
                <w:color w:val="222222"/>
                <w:sz w:val="21"/>
              </w:rPr>
              <w:t>引进条件</w:t>
            </w:r>
          </w:p>
        </w:tc>
        <w:tc>
          <w:tcPr>
            <w:tcW w:w="2430" w:type="dxa"/>
            <w:tcBorders>
              <w:top w:val="outset" w:sz="6" w:space="0" w:color="auto"/>
              <w:left w:val="outset" w:sz="6" w:space="0" w:color="auto"/>
              <w:bottom w:val="outset" w:sz="6" w:space="0" w:color="auto"/>
              <w:right w:val="outset" w:sz="6" w:space="0" w:color="auto"/>
            </w:tcBorders>
            <w:vAlign w:val="center"/>
            <w:hideMark/>
          </w:tcPr>
          <w:p w:rsidR="00AB68F0" w:rsidRPr="00AB68F0" w:rsidRDefault="00AB68F0" w:rsidP="00AB68F0">
            <w:pPr>
              <w:adjustRightInd/>
              <w:snapToGrid/>
              <w:spacing w:after="0" w:line="360" w:lineRule="atLeast"/>
              <w:jc w:val="center"/>
              <w:rPr>
                <w:rFonts w:ascii="宋体" w:eastAsia="宋体" w:hAnsi="宋体" w:cs="Arial"/>
                <w:color w:val="222222"/>
                <w:sz w:val="21"/>
                <w:szCs w:val="21"/>
              </w:rPr>
            </w:pPr>
            <w:r w:rsidRPr="00AB68F0">
              <w:rPr>
                <w:rFonts w:ascii="宋体" w:eastAsia="宋体" w:hAnsi="宋体" w:cs="Arial" w:hint="eastAsia"/>
                <w:b/>
                <w:bCs/>
                <w:color w:val="222222"/>
                <w:sz w:val="21"/>
              </w:rPr>
              <w:t>引进待遇</w:t>
            </w:r>
          </w:p>
        </w:tc>
      </w:tr>
      <w:tr w:rsidR="00AB68F0" w:rsidRPr="00AB68F0" w:rsidTr="00AB68F0">
        <w:trPr>
          <w:tblCellSpacing w:w="0" w:type="dxa"/>
          <w:jc w:val="center"/>
        </w:trPr>
        <w:tc>
          <w:tcPr>
            <w:tcW w:w="1515" w:type="dxa"/>
            <w:tcBorders>
              <w:top w:val="outset" w:sz="6" w:space="0" w:color="auto"/>
              <w:left w:val="outset" w:sz="6" w:space="0" w:color="auto"/>
              <w:bottom w:val="outset" w:sz="6" w:space="0" w:color="auto"/>
              <w:right w:val="outset" w:sz="6" w:space="0" w:color="auto"/>
            </w:tcBorders>
            <w:vAlign w:val="center"/>
            <w:hideMark/>
          </w:tcPr>
          <w:p w:rsidR="00AB68F0" w:rsidRPr="00AB68F0" w:rsidRDefault="00AB68F0" w:rsidP="00AB68F0">
            <w:pPr>
              <w:adjustRightInd/>
              <w:snapToGrid/>
              <w:spacing w:after="0" w:line="360" w:lineRule="atLeast"/>
              <w:jc w:val="center"/>
              <w:rPr>
                <w:rFonts w:ascii="宋体" w:eastAsia="宋体" w:hAnsi="宋体" w:cs="Arial"/>
                <w:color w:val="222222"/>
                <w:sz w:val="21"/>
                <w:szCs w:val="21"/>
              </w:rPr>
            </w:pPr>
            <w:r w:rsidRPr="00AB68F0">
              <w:rPr>
                <w:rFonts w:ascii="宋体" w:eastAsia="宋体" w:hAnsi="宋体" w:cs="Arial" w:hint="eastAsia"/>
                <w:color w:val="222222"/>
                <w:sz w:val="21"/>
                <w:szCs w:val="21"/>
              </w:rPr>
              <w:t>第一层次</w:t>
            </w:r>
          </w:p>
        </w:tc>
        <w:tc>
          <w:tcPr>
            <w:tcW w:w="4530" w:type="dxa"/>
            <w:tcBorders>
              <w:top w:val="outset" w:sz="6" w:space="0" w:color="auto"/>
              <w:left w:val="outset" w:sz="6" w:space="0" w:color="auto"/>
              <w:bottom w:val="outset" w:sz="6" w:space="0" w:color="auto"/>
              <w:right w:val="outset" w:sz="6" w:space="0" w:color="auto"/>
            </w:tcBorders>
            <w:vAlign w:val="center"/>
            <w:hideMark/>
          </w:tcPr>
          <w:p w:rsidR="00AB68F0" w:rsidRPr="00AB68F0" w:rsidRDefault="00AB68F0" w:rsidP="00AB68F0">
            <w:pPr>
              <w:adjustRightInd/>
              <w:snapToGrid/>
              <w:spacing w:after="0" w:line="360" w:lineRule="atLeast"/>
              <w:rPr>
                <w:rFonts w:ascii="宋体" w:eastAsia="宋体" w:hAnsi="宋体" w:cs="Arial"/>
                <w:color w:val="222222"/>
                <w:sz w:val="21"/>
                <w:szCs w:val="21"/>
              </w:rPr>
            </w:pPr>
            <w:r w:rsidRPr="00AB68F0">
              <w:rPr>
                <w:rFonts w:ascii="宋体" w:eastAsia="宋体" w:hAnsi="宋体" w:cs="Arial" w:hint="eastAsia"/>
                <w:color w:val="222222"/>
                <w:sz w:val="21"/>
                <w:szCs w:val="21"/>
              </w:rPr>
              <w:t>中国科学院院士；中国工程院院士；“国家特支计划”杰出人才；海外著名学术机构院士；其他经学校组织相关专家评估认定的与此类人才层次相当、在学术界有重大影响的著名学者。</w:t>
            </w:r>
          </w:p>
        </w:tc>
        <w:tc>
          <w:tcPr>
            <w:tcW w:w="2430" w:type="dxa"/>
            <w:tcBorders>
              <w:top w:val="outset" w:sz="6" w:space="0" w:color="auto"/>
              <w:left w:val="outset" w:sz="6" w:space="0" w:color="auto"/>
              <w:bottom w:val="outset" w:sz="6" w:space="0" w:color="auto"/>
              <w:right w:val="outset" w:sz="6" w:space="0" w:color="auto"/>
            </w:tcBorders>
            <w:vAlign w:val="center"/>
            <w:hideMark/>
          </w:tcPr>
          <w:p w:rsidR="00AB68F0" w:rsidRPr="00AB68F0" w:rsidRDefault="00AB68F0" w:rsidP="00AB68F0">
            <w:pPr>
              <w:adjustRightInd/>
              <w:snapToGrid/>
              <w:spacing w:after="0" w:line="360" w:lineRule="atLeast"/>
              <w:jc w:val="center"/>
              <w:rPr>
                <w:rFonts w:ascii="宋体" w:eastAsia="宋体" w:hAnsi="宋体" w:cs="Arial"/>
                <w:color w:val="222222"/>
                <w:sz w:val="21"/>
                <w:szCs w:val="21"/>
              </w:rPr>
            </w:pPr>
            <w:r w:rsidRPr="00AB68F0">
              <w:rPr>
                <w:rFonts w:ascii="宋体" w:eastAsia="宋体" w:hAnsi="宋体" w:cs="Arial" w:hint="eastAsia"/>
                <w:color w:val="222222"/>
                <w:sz w:val="21"/>
                <w:szCs w:val="21"/>
              </w:rPr>
              <w:t>面议</w:t>
            </w:r>
          </w:p>
        </w:tc>
      </w:tr>
      <w:tr w:rsidR="00AB68F0" w:rsidRPr="00AB68F0" w:rsidTr="00AB68F0">
        <w:trPr>
          <w:tblCellSpacing w:w="0" w:type="dxa"/>
          <w:jc w:val="center"/>
        </w:trPr>
        <w:tc>
          <w:tcPr>
            <w:tcW w:w="1515" w:type="dxa"/>
            <w:tcBorders>
              <w:top w:val="outset" w:sz="6" w:space="0" w:color="auto"/>
              <w:left w:val="outset" w:sz="6" w:space="0" w:color="auto"/>
              <w:bottom w:val="outset" w:sz="6" w:space="0" w:color="auto"/>
              <w:right w:val="outset" w:sz="6" w:space="0" w:color="auto"/>
            </w:tcBorders>
            <w:vAlign w:val="center"/>
            <w:hideMark/>
          </w:tcPr>
          <w:p w:rsidR="00AB68F0" w:rsidRPr="00AB68F0" w:rsidRDefault="00AB68F0" w:rsidP="00AB68F0">
            <w:pPr>
              <w:adjustRightInd/>
              <w:snapToGrid/>
              <w:spacing w:after="0" w:line="360" w:lineRule="atLeast"/>
              <w:jc w:val="center"/>
              <w:rPr>
                <w:rFonts w:ascii="宋体" w:eastAsia="宋体" w:hAnsi="宋体" w:cs="Arial"/>
                <w:color w:val="222222"/>
                <w:sz w:val="21"/>
                <w:szCs w:val="21"/>
              </w:rPr>
            </w:pPr>
            <w:r w:rsidRPr="00AB68F0">
              <w:rPr>
                <w:rFonts w:ascii="宋体" w:eastAsia="宋体" w:hAnsi="宋体" w:cs="Arial" w:hint="eastAsia"/>
                <w:color w:val="222222"/>
                <w:sz w:val="21"/>
                <w:szCs w:val="21"/>
              </w:rPr>
              <w:t>第二层次</w:t>
            </w:r>
          </w:p>
        </w:tc>
        <w:tc>
          <w:tcPr>
            <w:tcW w:w="4530" w:type="dxa"/>
            <w:tcBorders>
              <w:top w:val="outset" w:sz="6" w:space="0" w:color="auto"/>
              <w:left w:val="outset" w:sz="6" w:space="0" w:color="auto"/>
              <w:bottom w:val="outset" w:sz="6" w:space="0" w:color="auto"/>
              <w:right w:val="outset" w:sz="6" w:space="0" w:color="auto"/>
            </w:tcBorders>
            <w:vAlign w:val="center"/>
            <w:hideMark/>
          </w:tcPr>
          <w:p w:rsidR="00AB68F0" w:rsidRPr="00AB68F0" w:rsidRDefault="00AB68F0" w:rsidP="00AB68F0">
            <w:pPr>
              <w:adjustRightInd/>
              <w:snapToGrid/>
              <w:spacing w:after="0" w:line="360" w:lineRule="atLeast"/>
              <w:rPr>
                <w:rFonts w:ascii="宋体" w:eastAsia="宋体" w:hAnsi="宋体" w:cs="Arial"/>
                <w:color w:val="222222"/>
                <w:sz w:val="21"/>
                <w:szCs w:val="21"/>
              </w:rPr>
            </w:pPr>
            <w:r w:rsidRPr="00AB68F0">
              <w:rPr>
                <w:rFonts w:ascii="宋体" w:eastAsia="宋体" w:hAnsi="宋体" w:cs="Arial" w:hint="eastAsia"/>
                <w:color w:val="222222"/>
                <w:sz w:val="21"/>
                <w:szCs w:val="21"/>
              </w:rPr>
              <w:t>“国家特支计划”领军人才；“长江学者奖励计划”特聘教授；国家杰出青年科学基金获得者；国家“863”、“973”项目首席科学家；国家“百千万人才工程”国家级人选；中国社会科学院学部委员；国家重点学科、重点实验室、工程技术研究中心负责人；国家科学基金重大项目负责人；国家级教学名师；海外著名大学（科研机构）终身教授；其他经学校认定的与此类人才称号相当、在学术界有重大影响的著名学者。</w:t>
            </w:r>
          </w:p>
        </w:tc>
        <w:tc>
          <w:tcPr>
            <w:tcW w:w="2430" w:type="dxa"/>
            <w:tcBorders>
              <w:top w:val="outset" w:sz="6" w:space="0" w:color="auto"/>
              <w:left w:val="outset" w:sz="6" w:space="0" w:color="auto"/>
              <w:bottom w:val="outset" w:sz="6" w:space="0" w:color="auto"/>
              <w:right w:val="outset" w:sz="6" w:space="0" w:color="auto"/>
            </w:tcBorders>
            <w:vAlign w:val="center"/>
            <w:hideMark/>
          </w:tcPr>
          <w:p w:rsidR="00AB68F0" w:rsidRPr="00AB68F0" w:rsidRDefault="00AB68F0" w:rsidP="00AB68F0">
            <w:pPr>
              <w:adjustRightInd/>
              <w:snapToGrid/>
              <w:spacing w:after="0" w:line="360" w:lineRule="atLeast"/>
              <w:rPr>
                <w:rFonts w:ascii="宋体" w:eastAsia="宋体" w:hAnsi="宋体" w:cs="Arial"/>
                <w:color w:val="222222"/>
                <w:sz w:val="21"/>
                <w:szCs w:val="21"/>
              </w:rPr>
            </w:pPr>
            <w:r w:rsidRPr="00AB68F0">
              <w:rPr>
                <w:rFonts w:ascii="宋体" w:eastAsia="宋体" w:hAnsi="宋体" w:cs="Arial" w:hint="eastAsia"/>
                <w:color w:val="222222"/>
                <w:sz w:val="21"/>
                <w:szCs w:val="21"/>
              </w:rPr>
              <w:t>1.国家事业编制；</w:t>
            </w:r>
          </w:p>
          <w:p w:rsidR="00AB68F0" w:rsidRPr="00AB68F0" w:rsidRDefault="00AB68F0" w:rsidP="00AB68F0">
            <w:pPr>
              <w:adjustRightInd/>
              <w:snapToGrid/>
              <w:spacing w:after="0" w:line="360" w:lineRule="atLeast"/>
              <w:rPr>
                <w:rFonts w:ascii="宋体" w:eastAsia="宋体" w:hAnsi="宋体" w:cs="Arial" w:hint="eastAsia"/>
                <w:color w:val="222222"/>
                <w:sz w:val="21"/>
                <w:szCs w:val="21"/>
              </w:rPr>
            </w:pPr>
            <w:r w:rsidRPr="00AB68F0">
              <w:rPr>
                <w:rFonts w:ascii="宋体" w:eastAsia="宋体" w:hAnsi="宋体" w:cs="Arial" w:hint="eastAsia"/>
                <w:color w:val="222222"/>
                <w:sz w:val="21"/>
                <w:szCs w:val="21"/>
              </w:rPr>
              <w:t>2.理工类不低于1300万元，人文社科类不低于350万元，上不封顶；</w:t>
            </w:r>
          </w:p>
          <w:p w:rsidR="00AB68F0" w:rsidRPr="00AB68F0" w:rsidRDefault="00AB68F0" w:rsidP="00AB68F0">
            <w:pPr>
              <w:adjustRightInd/>
              <w:snapToGrid/>
              <w:spacing w:after="0" w:line="360" w:lineRule="atLeast"/>
              <w:rPr>
                <w:rFonts w:ascii="宋体" w:eastAsia="宋体" w:hAnsi="宋体" w:cs="Arial" w:hint="eastAsia"/>
                <w:color w:val="222222"/>
                <w:sz w:val="21"/>
                <w:szCs w:val="21"/>
              </w:rPr>
            </w:pPr>
            <w:r w:rsidRPr="00AB68F0">
              <w:rPr>
                <w:rFonts w:ascii="宋体" w:eastAsia="宋体" w:hAnsi="宋体" w:cs="Arial" w:hint="eastAsia"/>
                <w:color w:val="222222"/>
                <w:sz w:val="21"/>
                <w:szCs w:val="21"/>
              </w:rPr>
              <w:t>3.年薪不低于100万元（税前），上不封顶。</w:t>
            </w:r>
          </w:p>
          <w:p w:rsidR="00AB68F0" w:rsidRPr="00AB68F0" w:rsidRDefault="00AB68F0" w:rsidP="00AB68F0">
            <w:pPr>
              <w:adjustRightInd/>
              <w:snapToGrid/>
              <w:spacing w:after="0" w:line="360" w:lineRule="atLeast"/>
              <w:rPr>
                <w:rFonts w:ascii="宋体" w:eastAsia="宋体" w:hAnsi="宋体" w:cs="Arial" w:hint="eastAsia"/>
                <w:color w:val="222222"/>
                <w:sz w:val="21"/>
                <w:szCs w:val="21"/>
              </w:rPr>
            </w:pPr>
            <w:r w:rsidRPr="00AB68F0">
              <w:rPr>
                <w:rFonts w:ascii="宋体" w:eastAsia="宋体" w:hAnsi="宋体" w:cs="Arial" w:hint="eastAsia"/>
                <w:color w:val="222222"/>
                <w:sz w:val="21"/>
                <w:szCs w:val="21"/>
              </w:rPr>
              <w:t>4.提供购买学校住房，或提供人才专用住房免费居住并发放购房补贴60万元（税前）；</w:t>
            </w:r>
          </w:p>
          <w:p w:rsidR="00AB68F0" w:rsidRPr="00AB68F0" w:rsidRDefault="00AB68F0" w:rsidP="00AB68F0">
            <w:pPr>
              <w:adjustRightInd/>
              <w:snapToGrid/>
              <w:spacing w:after="0" w:line="360" w:lineRule="atLeast"/>
              <w:rPr>
                <w:rFonts w:ascii="宋体" w:eastAsia="宋体" w:hAnsi="宋体" w:cs="Arial"/>
                <w:color w:val="222222"/>
                <w:sz w:val="21"/>
                <w:szCs w:val="21"/>
              </w:rPr>
            </w:pPr>
            <w:r w:rsidRPr="00AB68F0">
              <w:rPr>
                <w:rFonts w:ascii="宋体" w:eastAsia="宋体" w:hAnsi="宋体" w:cs="Arial" w:hint="eastAsia"/>
                <w:color w:val="222222"/>
                <w:sz w:val="21"/>
                <w:szCs w:val="21"/>
              </w:rPr>
              <w:t>非全职工作者待遇面议。</w:t>
            </w:r>
          </w:p>
        </w:tc>
      </w:tr>
      <w:tr w:rsidR="00AB68F0" w:rsidRPr="00AB68F0" w:rsidTr="00AB68F0">
        <w:trPr>
          <w:tblCellSpacing w:w="0" w:type="dxa"/>
          <w:jc w:val="center"/>
        </w:trPr>
        <w:tc>
          <w:tcPr>
            <w:tcW w:w="1515" w:type="dxa"/>
            <w:tcBorders>
              <w:top w:val="outset" w:sz="6" w:space="0" w:color="auto"/>
              <w:left w:val="outset" w:sz="6" w:space="0" w:color="auto"/>
              <w:bottom w:val="outset" w:sz="6" w:space="0" w:color="auto"/>
              <w:right w:val="outset" w:sz="6" w:space="0" w:color="auto"/>
            </w:tcBorders>
            <w:vAlign w:val="center"/>
            <w:hideMark/>
          </w:tcPr>
          <w:p w:rsidR="00AB68F0" w:rsidRPr="00AB68F0" w:rsidRDefault="00AB68F0" w:rsidP="00AB68F0">
            <w:pPr>
              <w:adjustRightInd/>
              <w:snapToGrid/>
              <w:spacing w:after="0" w:line="360" w:lineRule="atLeast"/>
              <w:jc w:val="center"/>
              <w:rPr>
                <w:rFonts w:ascii="宋体" w:eastAsia="宋体" w:hAnsi="宋体" w:cs="Arial"/>
                <w:color w:val="222222"/>
                <w:sz w:val="21"/>
                <w:szCs w:val="21"/>
              </w:rPr>
            </w:pPr>
            <w:r w:rsidRPr="00AB68F0">
              <w:rPr>
                <w:rFonts w:ascii="宋体" w:eastAsia="宋体" w:hAnsi="宋体" w:cs="Arial" w:hint="eastAsia"/>
                <w:color w:val="222222"/>
                <w:sz w:val="21"/>
                <w:szCs w:val="21"/>
              </w:rPr>
              <w:t>第三层次</w:t>
            </w:r>
          </w:p>
        </w:tc>
        <w:tc>
          <w:tcPr>
            <w:tcW w:w="4530" w:type="dxa"/>
            <w:tcBorders>
              <w:top w:val="outset" w:sz="6" w:space="0" w:color="auto"/>
              <w:left w:val="outset" w:sz="6" w:space="0" w:color="auto"/>
              <w:bottom w:val="outset" w:sz="6" w:space="0" w:color="auto"/>
              <w:right w:val="outset" w:sz="6" w:space="0" w:color="auto"/>
            </w:tcBorders>
            <w:vAlign w:val="center"/>
            <w:hideMark/>
          </w:tcPr>
          <w:p w:rsidR="00AB68F0" w:rsidRPr="00AB68F0" w:rsidRDefault="00AB68F0" w:rsidP="00AB68F0">
            <w:pPr>
              <w:adjustRightInd/>
              <w:snapToGrid/>
              <w:spacing w:after="0" w:line="360" w:lineRule="atLeast"/>
              <w:rPr>
                <w:rFonts w:ascii="宋体" w:eastAsia="宋体" w:hAnsi="宋体" w:cs="Arial"/>
                <w:color w:val="222222"/>
                <w:sz w:val="21"/>
                <w:szCs w:val="21"/>
              </w:rPr>
            </w:pPr>
            <w:r w:rsidRPr="00AB68F0">
              <w:rPr>
                <w:rFonts w:ascii="宋体" w:eastAsia="宋体" w:hAnsi="宋体" w:cs="Arial" w:hint="eastAsia"/>
                <w:color w:val="222222"/>
                <w:sz w:val="21"/>
                <w:szCs w:val="21"/>
              </w:rPr>
              <w:t>“国家特支计划”青年拔尖人才；国家自然科学基金优秀青年科学基金获得者；国家科学基金重点项目负责人；国家重点学科带头人；中国科学院“百人计划”人选；广西“八桂学者”、广西“十百千”第一层次人选、其他相当省级人才称号获得者；海外著名大学（科研机构）教授；其他经学校组织相关专家评估认定的与此类人才称号相当的优秀学者。</w:t>
            </w:r>
          </w:p>
        </w:tc>
        <w:tc>
          <w:tcPr>
            <w:tcW w:w="2430" w:type="dxa"/>
            <w:tcBorders>
              <w:top w:val="outset" w:sz="6" w:space="0" w:color="auto"/>
              <w:left w:val="outset" w:sz="6" w:space="0" w:color="auto"/>
              <w:bottom w:val="outset" w:sz="6" w:space="0" w:color="auto"/>
              <w:right w:val="outset" w:sz="6" w:space="0" w:color="auto"/>
            </w:tcBorders>
            <w:vAlign w:val="center"/>
            <w:hideMark/>
          </w:tcPr>
          <w:p w:rsidR="00AB68F0" w:rsidRPr="00AB68F0" w:rsidRDefault="00AB68F0" w:rsidP="00AB68F0">
            <w:pPr>
              <w:adjustRightInd/>
              <w:snapToGrid/>
              <w:spacing w:after="0" w:line="360" w:lineRule="atLeast"/>
              <w:rPr>
                <w:rFonts w:ascii="宋体" w:eastAsia="宋体" w:hAnsi="宋体" w:cs="Arial"/>
                <w:color w:val="222222"/>
                <w:sz w:val="21"/>
                <w:szCs w:val="21"/>
              </w:rPr>
            </w:pPr>
            <w:r w:rsidRPr="00AB68F0">
              <w:rPr>
                <w:rFonts w:ascii="宋体" w:eastAsia="宋体" w:hAnsi="宋体" w:cs="Arial" w:hint="eastAsia"/>
                <w:color w:val="222222"/>
                <w:sz w:val="21"/>
                <w:szCs w:val="21"/>
              </w:rPr>
              <w:t>1.国家事业编制；</w:t>
            </w:r>
          </w:p>
          <w:p w:rsidR="00AB68F0" w:rsidRPr="00AB68F0" w:rsidRDefault="00AB68F0" w:rsidP="00AB68F0">
            <w:pPr>
              <w:adjustRightInd/>
              <w:snapToGrid/>
              <w:spacing w:after="0" w:line="360" w:lineRule="atLeast"/>
              <w:rPr>
                <w:rFonts w:ascii="宋体" w:eastAsia="宋体" w:hAnsi="宋体" w:cs="Arial" w:hint="eastAsia"/>
                <w:color w:val="222222"/>
                <w:sz w:val="21"/>
                <w:szCs w:val="21"/>
              </w:rPr>
            </w:pPr>
            <w:r w:rsidRPr="00AB68F0">
              <w:rPr>
                <w:rFonts w:ascii="宋体" w:eastAsia="宋体" w:hAnsi="宋体" w:cs="Arial" w:hint="eastAsia"/>
                <w:color w:val="222222"/>
                <w:sz w:val="21"/>
                <w:szCs w:val="21"/>
              </w:rPr>
              <w:t>2.理工类不低于340万元，人文社科类不低于150万元，上不封顶；</w:t>
            </w:r>
          </w:p>
          <w:p w:rsidR="00AB68F0" w:rsidRPr="00AB68F0" w:rsidRDefault="00AB68F0" w:rsidP="00AB68F0">
            <w:pPr>
              <w:adjustRightInd/>
              <w:snapToGrid/>
              <w:spacing w:after="0" w:line="360" w:lineRule="atLeast"/>
              <w:rPr>
                <w:rFonts w:ascii="宋体" w:eastAsia="宋体" w:hAnsi="宋体" w:cs="Arial" w:hint="eastAsia"/>
                <w:color w:val="222222"/>
                <w:sz w:val="21"/>
                <w:szCs w:val="21"/>
              </w:rPr>
            </w:pPr>
            <w:r w:rsidRPr="00AB68F0">
              <w:rPr>
                <w:rFonts w:ascii="宋体" w:eastAsia="宋体" w:hAnsi="宋体" w:cs="Arial" w:hint="eastAsia"/>
                <w:color w:val="222222"/>
                <w:sz w:val="21"/>
                <w:szCs w:val="21"/>
              </w:rPr>
              <w:t>3.年薪不低于60万元（税前），上不封顶。</w:t>
            </w:r>
          </w:p>
          <w:p w:rsidR="00AB68F0" w:rsidRPr="00AB68F0" w:rsidRDefault="00AB68F0" w:rsidP="00AB68F0">
            <w:pPr>
              <w:adjustRightInd/>
              <w:snapToGrid/>
              <w:spacing w:after="0" w:line="360" w:lineRule="atLeast"/>
              <w:rPr>
                <w:rFonts w:ascii="宋体" w:eastAsia="宋体" w:hAnsi="宋体" w:cs="Arial" w:hint="eastAsia"/>
                <w:color w:val="222222"/>
                <w:sz w:val="21"/>
                <w:szCs w:val="21"/>
              </w:rPr>
            </w:pPr>
            <w:r w:rsidRPr="00AB68F0">
              <w:rPr>
                <w:rFonts w:ascii="宋体" w:eastAsia="宋体" w:hAnsi="宋体" w:cs="Arial" w:hint="eastAsia"/>
                <w:color w:val="222222"/>
                <w:sz w:val="21"/>
                <w:szCs w:val="21"/>
              </w:rPr>
              <w:t>4.提供购买学校住房，或享受购房补贴50万元（税前）；不购房者，根据学校周转房管理办法，可提供校内周转房租住；</w:t>
            </w:r>
          </w:p>
          <w:p w:rsidR="00AB68F0" w:rsidRPr="00AB68F0" w:rsidRDefault="00AB68F0" w:rsidP="00AB68F0">
            <w:pPr>
              <w:adjustRightInd/>
              <w:snapToGrid/>
              <w:spacing w:after="0" w:line="360" w:lineRule="atLeast"/>
              <w:rPr>
                <w:rFonts w:ascii="宋体" w:eastAsia="宋体" w:hAnsi="宋体" w:cs="Arial"/>
                <w:color w:val="222222"/>
                <w:sz w:val="21"/>
                <w:szCs w:val="21"/>
              </w:rPr>
            </w:pPr>
            <w:r w:rsidRPr="00AB68F0">
              <w:rPr>
                <w:rFonts w:ascii="宋体" w:eastAsia="宋体" w:hAnsi="宋体" w:cs="Arial" w:hint="eastAsia"/>
                <w:color w:val="222222"/>
                <w:sz w:val="21"/>
                <w:szCs w:val="21"/>
              </w:rPr>
              <w:t>非全职工作者待遇面议。</w:t>
            </w:r>
          </w:p>
        </w:tc>
      </w:tr>
      <w:tr w:rsidR="00AB68F0" w:rsidRPr="00AB68F0" w:rsidTr="00AB68F0">
        <w:trPr>
          <w:tblCellSpacing w:w="0" w:type="dxa"/>
          <w:jc w:val="center"/>
        </w:trPr>
        <w:tc>
          <w:tcPr>
            <w:tcW w:w="1515" w:type="dxa"/>
            <w:tcBorders>
              <w:top w:val="outset" w:sz="6" w:space="0" w:color="auto"/>
              <w:left w:val="outset" w:sz="6" w:space="0" w:color="auto"/>
              <w:bottom w:val="outset" w:sz="6" w:space="0" w:color="auto"/>
              <w:right w:val="outset" w:sz="6" w:space="0" w:color="auto"/>
            </w:tcBorders>
            <w:vAlign w:val="center"/>
            <w:hideMark/>
          </w:tcPr>
          <w:p w:rsidR="00AB68F0" w:rsidRPr="00AB68F0" w:rsidRDefault="00AB68F0" w:rsidP="00AB68F0">
            <w:pPr>
              <w:adjustRightInd/>
              <w:snapToGrid/>
              <w:spacing w:after="0" w:line="360" w:lineRule="atLeast"/>
              <w:jc w:val="center"/>
              <w:rPr>
                <w:rFonts w:ascii="宋体" w:eastAsia="宋体" w:hAnsi="宋体" w:cs="Arial"/>
                <w:color w:val="222222"/>
                <w:sz w:val="21"/>
                <w:szCs w:val="21"/>
              </w:rPr>
            </w:pPr>
            <w:r w:rsidRPr="00AB68F0">
              <w:rPr>
                <w:rFonts w:ascii="宋体" w:eastAsia="宋体" w:hAnsi="宋体" w:cs="Arial" w:hint="eastAsia"/>
                <w:color w:val="222222"/>
                <w:sz w:val="21"/>
                <w:szCs w:val="21"/>
              </w:rPr>
              <w:t>第四层次</w:t>
            </w:r>
          </w:p>
        </w:tc>
        <w:tc>
          <w:tcPr>
            <w:tcW w:w="4530" w:type="dxa"/>
            <w:tcBorders>
              <w:top w:val="outset" w:sz="6" w:space="0" w:color="auto"/>
              <w:left w:val="outset" w:sz="6" w:space="0" w:color="auto"/>
              <w:bottom w:val="outset" w:sz="6" w:space="0" w:color="auto"/>
              <w:right w:val="outset" w:sz="6" w:space="0" w:color="auto"/>
            </w:tcBorders>
            <w:vAlign w:val="center"/>
            <w:hideMark/>
          </w:tcPr>
          <w:p w:rsidR="00AB68F0" w:rsidRPr="00AB68F0" w:rsidRDefault="00AB68F0" w:rsidP="00AB68F0">
            <w:pPr>
              <w:adjustRightInd/>
              <w:snapToGrid/>
              <w:spacing w:after="0" w:line="360" w:lineRule="atLeast"/>
              <w:rPr>
                <w:rFonts w:ascii="宋体" w:eastAsia="宋体" w:hAnsi="宋体" w:cs="Arial"/>
                <w:color w:val="222222"/>
                <w:sz w:val="21"/>
                <w:szCs w:val="21"/>
              </w:rPr>
            </w:pPr>
            <w:r w:rsidRPr="00AB68F0">
              <w:rPr>
                <w:rFonts w:ascii="宋体" w:eastAsia="宋体" w:hAnsi="宋体" w:cs="Arial" w:hint="eastAsia"/>
                <w:color w:val="222222"/>
                <w:sz w:val="21"/>
                <w:szCs w:val="21"/>
              </w:rPr>
              <w:t>1.年龄一般不超过50周岁的全国百篇优秀博士学位论文获得者；教育部“新世纪优秀人才支持计划”入选者；广西“特聘专家”、广西“十百千”第二层次人选、其他相当省级人才称号获得者；其他经学校组织相关专家评估认定的与此类人才称号相当的优秀学者；</w:t>
            </w:r>
          </w:p>
          <w:p w:rsidR="00AB68F0" w:rsidRPr="00AB68F0" w:rsidRDefault="00AB68F0" w:rsidP="00AB68F0">
            <w:pPr>
              <w:adjustRightInd/>
              <w:snapToGrid/>
              <w:spacing w:after="0" w:line="360" w:lineRule="atLeast"/>
              <w:rPr>
                <w:rFonts w:ascii="宋体" w:eastAsia="宋体" w:hAnsi="宋体" w:cs="Arial" w:hint="eastAsia"/>
                <w:color w:val="222222"/>
                <w:sz w:val="21"/>
                <w:szCs w:val="21"/>
              </w:rPr>
            </w:pPr>
            <w:r w:rsidRPr="00AB68F0">
              <w:rPr>
                <w:rFonts w:ascii="宋体" w:eastAsia="宋体" w:hAnsi="宋体" w:cs="Arial" w:hint="eastAsia"/>
                <w:color w:val="222222"/>
                <w:sz w:val="21"/>
                <w:szCs w:val="21"/>
              </w:rPr>
              <w:t>2.年龄一般不超过40周岁，在海（境）外知名高校取得博士学位，并有3年以上海（境）外科研工作经历，或在国内取得博士学位的并有5年以上海（境）外科研工作经历，是所从事科研领域同龄人中的拔尖人才，有成为该领域学术或技术带头人的发展潜力；</w:t>
            </w:r>
          </w:p>
          <w:p w:rsidR="00AB68F0" w:rsidRPr="00AB68F0" w:rsidRDefault="00AB68F0" w:rsidP="00AB68F0">
            <w:pPr>
              <w:adjustRightInd/>
              <w:snapToGrid/>
              <w:spacing w:after="0" w:line="360" w:lineRule="atLeast"/>
              <w:rPr>
                <w:rFonts w:ascii="宋体" w:eastAsia="宋体" w:hAnsi="宋体" w:cs="Arial"/>
                <w:color w:val="222222"/>
                <w:sz w:val="21"/>
                <w:szCs w:val="21"/>
              </w:rPr>
            </w:pPr>
            <w:r w:rsidRPr="00AB68F0">
              <w:rPr>
                <w:rFonts w:ascii="宋体" w:eastAsia="宋体" w:hAnsi="宋体" w:cs="Arial" w:hint="eastAsia"/>
                <w:color w:val="222222"/>
                <w:sz w:val="21"/>
                <w:szCs w:val="21"/>
              </w:rPr>
              <w:t>3.年龄一般不超过45周岁，具有博士学位和正高级专业技术职务，并同时具备下列条件之一：（1）主持完成1项及以上国家级项目并获得（省）部级一等奖（排名前三）或二等奖（排名前二）科技成果奖励，具有优秀学术成就的专家学者；（2）近五年主持2项（含）以上国家级科研项目，且发表高水平论文、论</w:t>
            </w:r>
            <w:r w:rsidRPr="00AB68F0">
              <w:rPr>
                <w:rFonts w:ascii="宋体" w:eastAsia="宋体" w:hAnsi="宋体" w:cs="Arial" w:hint="eastAsia"/>
                <w:color w:val="222222"/>
                <w:sz w:val="21"/>
                <w:szCs w:val="21"/>
              </w:rPr>
              <w:lastRenderedPageBreak/>
              <w:t>著，具有优秀学术成就的专家学者。</w:t>
            </w:r>
          </w:p>
        </w:tc>
        <w:tc>
          <w:tcPr>
            <w:tcW w:w="2430" w:type="dxa"/>
            <w:tcBorders>
              <w:top w:val="outset" w:sz="6" w:space="0" w:color="auto"/>
              <w:left w:val="outset" w:sz="6" w:space="0" w:color="auto"/>
              <w:bottom w:val="outset" w:sz="6" w:space="0" w:color="auto"/>
              <w:right w:val="outset" w:sz="6" w:space="0" w:color="auto"/>
            </w:tcBorders>
            <w:vAlign w:val="center"/>
            <w:hideMark/>
          </w:tcPr>
          <w:p w:rsidR="00AB68F0" w:rsidRPr="00AB68F0" w:rsidRDefault="00AB68F0" w:rsidP="00AB68F0">
            <w:pPr>
              <w:adjustRightInd/>
              <w:snapToGrid/>
              <w:spacing w:after="0" w:line="360" w:lineRule="atLeast"/>
              <w:rPr>
                <w:rFonts w:ascii="宋体" w:eastAsia="宋体" w:hAnsi="宋体" w:cs="Arial"/>
                <w:color w:val="222222"/>
                <w:sz w:val="21"/>
                <w:szCs w:val="21"/>
              </w:rPr>
            </w:pPr>
            <w:r w:rsidRPr="00AB68F0">
              <w:rPr>
                <w:rFonts w:ascii="宋体" w:eastAsia="宋体" w:hAnsi="宋体" w:cs="Arial" w:hint="eastAsia"/>
                <w:color w:val="222222"/>
                <w:sz w:val="21"/>
                <w:szCs w:val="21"/>
              </w:rPr>
              <w:lastRenderedPageBreak/>
              <w:t>1.国家事业编制；</w:t>
            </w:r>
          </w:p>
          <w:p w:rsidR="00AB68F0" w:rsidRPr="00AB68F0" w:rsidRDefault="00AB68F0" w:rsidP="00AB68F0">
            <w:pPr>
              <w:adjustRightInd/>
              <w:snapToGrid/>
              <w:spacing w:after="0" w:line="360" w:lineRule="atLeast"/>
              <w:rPr>
                <w:rFonts w:ascii="宋体" w:eastAsia="宋体" w:hAnsi="宋体" w:cs="Arial" w:hint="eastAsia"/>
                <w:color w:val="222222"/>
                <w:sz w:val="21"/>
                <w:szCs w:val="21"/>
              </w:rPr>
            </w:pPr>
            <w:r w:rsidRPr="00AB68F0">
              <w:rPr>
                <w:rFonts w:ascii="宋体" w:eastAsia="宋体" w:hAnsi="宋体" w:cs="Arial" w:hint="eastAsia"/>
                <w:color w:val="222222"/>
                <w:sz w:val="21"/>
                <w:szCs w:val="21"/>
              </w:rPr>
              <w:t>2.理工类不低于130万元，人文社科类不低于80万元，上不封顶；</w:t>
            </w:r>
          </w:p>
          <w:p w:rsidR="00AB68F0" w:rsidRPr="00AB68F0" w:rsidRDefault="00AB68F0" w:rsidP="00AB68F0">
            <w:pPr>
              <w:adjustRightInd/>
              <w:snapToGrid/>
              <w:spacing w:after="0" w:line="360" w:lineRule="atLeast"/>
              <w:rPr>
                <w:rFonts w:ascii="宋体" w:eastAsia="宋体" w:hAnsi="宋体" w:cs="Arial" w:hint="eastAsia"/>
                <w:color w:val="222222"/>
                <w:sz w:val="21"/>
                <w:szCs w:val="21"/>
              </w:rPr>
            </w:pPr>
            <w:r w:rsidRPr="00AB68F0">
              <w:rPr>
                <w:rFonts w:ascii="宋体" w:eastAsia="宋体" w:hAnsi="宋体" w:cs="Arial" w:hint="eastAsia"/>
                <w:color w:val="222222"/>
                <w:sz w:val="21"/>
                <w:szCs w:val="21"/>
              </w:rPr>
              <w:t>3.年薪不低于30万元（税前），上不封顶。</w:t>
            </w:r>
          </w:p>
          <w:p w:rsidR="00AB68F0" w:rsidRPr="00AB68F0" w:rsidRDefault="00AB68F0" w:rsidP="00AB68F0">
            <w:pPr>
              <w:adjustRightInd/>
              <w:snapToGrid/>
              <w:spacing w:after="0" w:line="360" w:lineRule="atLeast"/>
              <w:rPr>
                <w:rFonts w:ascii="宋体" w:eastAsia="宋体" w:hAnsi="宋体" w:cs="Arial" w:hint="eastAsia"/>
                <w:color w:val="222222"/>
                <w:sz w:val="21"/>
                <w:szCs w:val="21"/>
              </w:rPr>
            </w:pPr>
            <w:r w:rsidRPr="00AB68F0">
              <w:rPr>
                <w:rFonts w:ascii="宋体" w:eastAsia="宋体" w:hAnsi="宋体" w:cs="Arial" w:hint="eastAsia"/>
                <w:color w:val="222222"/>
                <w:sz w:val="21"/>
                <w:szCs w:val="21"/>
              </w:rPr>
              <w:t>4.提供购买学校住房，或享受购房补贴40万元（税前）；不购房者，根据学校周转房管理办法，可提供校内周转房租住；</w:t>
            </w:r>
          </w:p>
          <w:p w:rsidR="00AB68F0" w:rsidRPr="00AB68F0" w:rsidRDefault="00AB68F0" w:rsidP="00AB68F0">
            <w:pPr>
              <w:adjustRightInd/>
              <w:snapToGrid/>
              <w:spacing w:after="0" w:line="360" w:lineRule="atLeast"/>
              <w:rPr>
                <w:rFonts w:ascii="宋体" w:eastAsia="宋体" w:hAnsi="宋体" w:cs="Arial"/>
                <w:color w:val="222222"/>
                <w:sz w:val="21"/>
                <w:szCs w:val="21"/>
              </w:rPr>
            </w:pPr>
            <w:r w:rsidRPr="00AB68F0">
              <w:rPr>
                <w:rFonts w:ascii="宋体" w:eastAsia="宋体" w:hAnsi="宋体" w:cs="Arial" w:hint="eastAsia"/>
                <w:color w:val="222222"/>
                <w:sz w:val="21"/>
                <w:szCs w:val="21"/>
              </w:rPr>
              <w:t>非全职工作者待遇面议。</w:t>
            </w:r>
          </w:p>
        </w:tc>
      </w:tr>
      <w:tr w:rsidR="00AB68F0" w:rsidRPr="00AB68F0" w:rsidTr="00AB68F0">
        <w:trPr>
          <w:tblCellSpacing w:w="0" w:type="dxa"/>
          <w:jc w:val="center"/>
        </w:trPr>
        <w:tc>
          <w:tcPr>
            <w:tcW w:w="1515" w:type="dxa"/>
            <w:tcBorders>
              <w:top w:val="outset" w:sz="6" w:space="0" w:color="auto"/>
              <w:left w:val="outset" w:sz="6" w:space="0" w:color="auto"/>
              <w:bottom w:val="outset" w:sz="6" w:space="0" w:color="auto"/>
              <w:right w:val="outset" w:sz="6" w:space="0" w:color="auto"/>
            </w:tcBorders>
            <w:vAlign w:val="center"/>
            <w:hideMark/>
          </w:tcPr>
          <w:p w:rsidR="00AB68F0" w:rsidRPr="00AB68F0" w:rsidRDefault="00AB68F0" w:rsidP="00AB68F0">
            <w:pPr>
              <w:adjustRightInd/>
              <w:snapToGrid/>
              <w:spacing w:after="0" w:line="360" w:lineRule="atLeast"/>
              <w:jc w:val="center"/>
              <w:rPr>
                <w:rFonts w:ascii="宋体" w:eastAsia="宋体" w:hAnsi="宋体" w:cs="Arial"/>
                <w:color w:val="222222"/>
                <w:sz w:val="21"/>
                <w:szCs w:val="21"/>
              </w:rPr>
            </w:pPr>
            <w:r w:rsidRPr="00AB68F0">
              <w:rPr>
                <w:rFonts w:ascii="宋体" w:eastAsia="宋体" w:hAnsi="宋体" w:cs="Arial" w:hint="eastAsia"/>
                <w:color w:val="222222"/>
                <w:sz w:val="21"/>
                <w:szCs w:val="21"/>
              </w:rPr>
              <w:lastRenderedPageBreak/>
              <w:t>第五层次</w:t>
            </w:r>
          </w:p>
        </w:tc>
        <w:tc>
          <w:tcPr>
            <w:tcW w:w="4530" w:type="dxa"/>
            <w:tcBorders>
              <w:top w:val="outset" w:sz="6" w:space="0" w:color="auto"/>
              <w:left w:val="outset" w:sz="6" w:space="0" w:color="auto"/>
              <w:bottom w:val="outset" w:sz="6" w:space="0" w:color="auto"/>
              <w:right w:val="outset" w:sz="6" w:space="0" w:color="auto"/>
            </w:tcBorders>
            <w:vAlign w:val="center"/>
            <w:hideMark/>
          </w:tcPr>
          <w:p w:rsidR="00AB68F0" w:rsidRPr="00AB68F0" w:rsidRDefault="00AB68F0" w:rsidP="00AB68F0">
            <w:pPr>
              <w:adjustRightInd/>
              <w:snapToGrid/>
              <w:spacing w:after="0" w:line="360" w:lineRule="atLeast"/>
              <w:rPr>
                <w:rFonts w:ascii="宋体" w:eastAsia="宋体" w:hAnsi="宋体" w:cs="Arial"/>
                <w:color w:val="222222"/>
                <w:sz w:val="21"/>
                <w:szCs w:val="21"/>
              </w:rPr>
            </w:pPr>
            <w:r w:rsidRPr="00AB68F0">
              <w:rPr>
                <w:rFonts w:ascii="宋体" w:eastAsia="宋体" w:hAnsi="宋体" w:cs="Arial" w:hint="eastAsia"/>
                <w:color w:val="222222"/>
                <w:sz w:val="21"/>
                <w:szCs w:val="21"/>
              </w:rPr>
              <w:t>1.广西高校人才小高地创新团队带头人；广西高校 “卓越学者”；广西自然科学基金杰出青年基金项目获得者；广西高校“百人计划”入选者；其他经学校组织相关专家评估认定的与此类人才称号相当的优秀人才；</w:t>
            </w:r>
          </w:p>
          <w:p w:rsidR="00AB68F0" w:rsidRPr="00AB68F0" w:rsidRDefault="00AB68F0" w:rsidP="00AB68F0">
            <w:pPr>
              <w:adjustRightInd/>
              <w:snapToGrid/>
              <w:spacing w:after="0" w:line="360" w:lineRule="atLeast"/>
              <w:rPr>
                <w:rFonts w:ascii="宋体" w:eastAsia="宋体" w:hAnsi="宋体" w:cs="Arial" w:hint="eastAsia"/>
                <w:color w:val="222222"/>
                <w:sz w:val="21"/>
                <w:szCs w:val="21"/>
              </w:rPr>
            </w:pPr>
            <w:r w:rsidRPr="00AB68F0">
              <w:rPr>
                <w:rFonts w:ascii="宋体" w:eastAsia="宋体" w:hAnsi="宋体" w:cs="Arial" w:hint="eastAsia"/>
                <w:color w:val="222222"/>
                <w:sz w:val="21"/>
                <w:szCs w:val="21"/>
              </w:rPr>
              <w:t>2.年龄一般不超过45周岁，具有博士学位和副高（含）以上专业技术职务人员，学术水平较高的优秀人才；</w:t>
            </w:r>
          </w:p>
          <w:p w:rsidR="00AB68F0" w:rsidRPr="00AB68F0" w:rsidRDefault="00AB68F0" w:rsidP="00AB68F0">
            <w:pPr>
              <w:adjustRightInd/>
              <w:snapToGrid/>
              <w:spacing w:after="0" w:line="360" w:lineRule="atLeast"/>
              <w:rPr>
                <w:rFonts w:ascii="宋体" w:eastAsia="宋体" w:hAnsi="宋体" w:cs="Arial"/>
                <w:color w:val="222222"/>
                <w:sz w:val="21"/>
                <w:szCs w:val="21"/>
              </w:rPr>
            </w:pPr>
            <w:r w:rsidRPr="00AB68F0">
              <w:rPr>
                <w:rFonts w:ascii="宋体" w:eastAsia="宋体" w:hAnsi="宋体" w:cs="Arial" w:hint="eastAsia"/>
                <w:color w:val="222222"/>
                <w:sz w:val="21"/>
                <w:szCs w:val="21"/>
              </w:rPr>
              <w:t>3.年龄一般不超过38周岁，在海（境）外知名高校取得博士学位，并有1年以上海（境）外科研工作经历，或在国内取得博士学位的并有3年以上海（境）外科研工作经历，学术水平较高的优秀人才。</w:t>
            </w:r>
          </w:p>
        </w:tc>
        <w:tc>
          <w:tcPr>
            <w:tcW w:w="2430" w:type="dxa"/>
            <w:tcBorders>
              <w:top w:val="outset" w:sz="6" w:space="0" w:color="auto"/>
              <w:left w:val="outset" w:sz="6" w:space="0" w:color="auto"/>
              <w:bottom w:val="outset" w:sz="6" w:space="0" w:color="auto"/>
              <w:right w:val="outset" w:sz="6" w:space="0" w:color="auto"/>
            </w:tcBorders>
            <w:vAlign w:val="center"/>
            <w:hideMark/>
          </w:tcPr>
          <w:p w:rsidR="00AB68F0" w:rsidRPr="00AB68F0" w:rsidRDefault="00AB68F0" w:rsidP="00AB68F0">
            <w:pPr>
              <w:adjustRightInd/>
              <w:snapToGrid/>
              <w:spacing w:after="0" w:line="360" w:lineRule="atLeast"/>
              <w:rPr>
                <w:rFonts w:ascii="宋体" w:eastAsia="宋体" w:hAnsi="宋体" w:cs="Arial"/>
                <w:color w:val="222222"/>
                <w:sz w:val="21"/>
                <w:szCs w:val="21"/>
              </w:rPr>
            </w:pPr>
            <w:r w:rsidRPr="00AB68F0">
              <w:rPr>
                <w:rFonts w:ascii="宋体" w:eastAsia="宋体" w:hAnsi="宋体" w:cs="Arial" w:hint="eastAsia"/>
                <w:color w:val="222222"/>
                <w:sz w:val="21"/>
                <w:szCs w:val="21"/>
              </w:rPr>
              <w:t>1.国家事业编制；</w:t>
            </w:r>
          </w:p>
          <w:p w:rsidR="00AB68F0" w:rsidRPr="00AB68F0" w:rsidRDefault="00AB68F0" w:rsidP="00AB68F0">
            <w:pPr>
              <w:adjustRightInd/>
              <w:snapToGrid/>
              <w:spacing w:after="0" w:line="360" w:lineRule="atLeast"/>
              <w:rPr>
                <w:rFonts w:ascii="宋体" w:eastAsia="宋体" w:hAnsi="宋体" w:cs="Arial" w:hint="eastAsia"/>
                <w:color w:val="222222"/>
                <w:sz w:val="21"/>
                <w:szCs w:val="21"/>
              </w:rPr>
            </w:pPr>
            <w:r w:rsidRPr="00AB68F0">
              <w:rPr>
                <w:rFonts w:ascii="宋体" w:eastAsia="宋体" w:hAnsi="宋体" w:cs="Arial" w:hint="eastAsia"/>
                <w:color w:val="222222"/>
                <w:sz w:val="21"/>
                <w:szCs w:val="21"/>
              </w:rPr>
              <w:t>2.理工类不低于50万元，人文社科类不低于40万元，上不封顶；</w:t>
            </w:r>
          </w:p>
          <w:p w:rsidR="00AB68F0" w:rsidRPr="00AB68F0" w:rsidRDefault="00AB68F0" w:rsidP="00AB68F0">
            <w:pPr>
              <w:adjustRightInd/>
              <w:snapToGrid/>
              <w:spacing w:after="0" w:line="360" w:lineRule="atLeast"/>
              <w:rPr>
                <w:rFonts w:ascii="宋体" w:eastAsia="宋体" w:hAnsi="宋体" w:cs="Arial"/>
                <w:color w:val="222222"/>
                <w:sz w:val="21"/>
                <w:szCs w:val="21"/>
              </w:rPr>
            </w:pPr>
            <w:r w:rsidRPr="00AB68F0">
              <w:rPr>
                <w:rFonts w:ascii="宋体" w:eastAsia="宋体" w:hAnsi="宋体" w:cs="Arial" w:hint="eastAsia"/>
                <w:color w:val="222222"/>
                <w:sz w:val="21"/>
                <w:szCs w:val="21"/>
              </w:rPr>
              <w:t>3.提供购买学校住房，或享受购房补贴25万元（税前）；不购房者，根据学校周转房管理办法，可提供校内周转房租住。</w:t>
            </w:r>
          </w:p>
        </w:tc>
      </w:tr>
      <w:tr w:rsidR="00AB68F0" w:rsidRPr="00AB68F0" w:rsidTr="00AB68F0">
        <w:trPr>
          <w:tblCellSpacing w:w="0" w:type="dxa"/>
          <w:jc w:val="center"/>
        </w:trPr>
        <w:tc>
          <w:tcPr>
            <w:tcW w:w="1515" w:type="dxa"/>
            <w:tcBorders>
              <w:top w:val="outset" w:sz="6" w:space="0" w:color="auto"/>
              <w:left w:val="outset" w:sz="6" w:space="0" w:color="auto"/>
              <w:bottom w:val="outset" w:sz="6" w:space="0" w:color="auto"/>
              <w:right w:val="outset" w:sz="6" w:space="0" w:color="auto"/>
            </w:tcBorders>
            <w:vAlign w:val="center"/>
            <w:hideMark/>
          </w:tcPr>
          <w:p w:rsidR="00AB68F0" w:rsidRPr="00AB68F0" w:rsidRDefault="00AB68F0" w:rsidP="00AB68F0">
            <w:pPr>
              <w:adjustRightInd/>
              <w:snapToGrid/>
              <w:spacing w:after="0" w:line="360" w:lineRule="atLeast"/>
              <w:jc w:val="center"/>
              <w:rPr>
                <w:rFonts w:ascii="宋体" w:eastAsia="宋体" w:hAnsi="宋体" w:cs="Arial"/>
                <w:color w:val="222222"/>
                <w:sz w:val="21"/>
                <w:szCs w:val="21"/>
              </w:rPr>
            </w:pPr>
            <w:r w:rsidRPr="00AB68F0">
              <w:rPr>
                <w:rFonts w:ascii="宋体" w:eastAsia="宋体" w:hAnsi="宋体" w:cs="Arial" w:hint="eastAsia"/>
                <w:color w:val="222222"/>
                <w:sz w:val="21"/>
                <w:szCs w:val="21"/>
              </w:rPr>
              <w:t>第六层次</w:t>
            </w:r>
          </w:p>
        </w:tc>
        <w:tc>
          <w:tcPr>
            <w:tcW w:w="4530" w:type="dxa"/>
            <w:tcBorders>
              <w:top w:val="outset" w:sz="6" w:space="0" w:color="auto"/>
              <w:left w:val="outset" w:sz="6" w:space="0" w:color="auto"/>
              <w:bottom w:val="outset" w:sz="6" w:space="0" w:color="auto"/>
              <w:right w:val="outset" w:sz="6" w:space="0" w:color="auto"/>
            </w:tcBorders>
            <w:vAlign w:val="center"/>
            <w:hideMark/>
          </w:tcPr>
          <w:p w:rsidR="00AB68F0" w:rsidRPr="00AB68F0" w:rsidRDefault="00AB68F0" w:rsidP="00AB68F0">
            <w:pPr>
              <w:adjustRightInd/>
              <w:snapToGrid/>
              <w:spacing w:after="0" w:line="360" w:lineRule="atLeast"/>
              <w:rPr>
                <w:rFonts w:ascii="宋体" w:eastAsia="宋体" w:hAnsi="宋体" w:cs="Arial"/>
                <w:color w:val="222222"/>
                <w:sz w:val="21"/>
                <w:szCs w:val="21"/>
              </w:rPr>
            </w:pPr>
            <w:r w:rsidRPr="00AB68F0">
              <w:rPr>
                <w:rFonts w:ascii="宋体" w:eastAsia="宋体" w:hAnsi="宋体" w:cs="Arial" w:hint="eastAsia"/>
                <w:color w:val="222222"/>
                <w:sz w:val="21"/>
                <w:szCs w:val="21"/>
              </w:rPr>
              <w:t>年龄一般不超过40周岁的优秀博士。</w:t>
            </w:r>
          </w:p>
        </w:tc>
        <w:tc>
          <w:tcPr>
            <w:tcW w:w="2430" w:type="dxa"/>
            <w:tcBorders>
              <w:top w:val="outset" w:sz="6" w:space="0" w:color="auto"/>
              <w:left w:val="outset" w:sz="6" w:space="0" w:color="auto"/>
              <w:bottom w:val="outset" w:sz="6" w:space="0" w:color="auto"/>
              <w:right w:val="outset" w:sz="6" w:space="0" w:color="auto"/>
            </w:tcBorders>
            <w:vAlign w:val="center"/>
            <w:hideMark/>
          </w:tcPr>
          <w:p w:rsidR="00AB68F0" w:rsidRPr="00AB68F0" w:rsidRDefault="00AB68F0" w:rsidP="00AB68F0">
            <w:pPr>
              <w:adjustRightInd/>
              <w:snapToGrid/>
              <w:spacing w:after="0" w:line="360" w:lineRule="atLeast"/>
              <w:rPr>
                <w:rFonts w:ascii="宋体" w:eastAsia="宋体" w:hAnsi="宋体" w:cs="Arial"/>
                <w:color w:val="222222"/>
                <w:sz w:val="21"/>
                <w:szCs w:val="21"/>
              </w:rPr>
            </w:pPr>
            <w:r w:rsidRPr="00AB68F0">
              <w:rPr>
                <w:rFonts w:ascii="宋体" w:eastAsia="宋体" w:hAnsi="宋体" w:cs="Arial" w:hint="eastAsia"/>
                <w:color w:val="222222"/>
                <w:sz w:val="21"/>
                <w:szCs w:val="21"/>
              </w:rPr>
              <w:t>1.国家事业编制；</w:t>
            </w:r>
          </w:p>
          <w:p w:rsidR="00AB68F0" w:rsidRPr="00AB68F0" w:rsidRDefault="00AB68F0" w:rsidP="00AB68F0">
            <w:pPr>
              <w:adjustRightInd/>
              <w:snapToGrid/>
              <w:spacing w:after="0" w:line="360" w:lineRule="atLeast"/>
              <w:rPr>
                <w:rFonts w:ascii="宋体" w:eastAsia="宋体" w:hAnsi="宋体" w:cs="Arial" w:hint="eastAsia"/>
                <w:color w:val="222222"/>
                <w:sz w:val="21"/>
                <w:szCs w:val="21"/>
              </w:rPr>
            </w:pPr>
            <w:r w:rsidRPr="00AB68F0">
              <w:rPr>
                <w:rFonts w:ascii="宋体" w:eastAsia="宋体" w:hAnsi="宋体" w:cs="Arial" w:hint="eastAsia"/>
                <w:color w:val="222222"/>
                <w:sz w:val="21"/>
                <w:szCs w:val="21"/>
              </w:rPr>
              <w:t>2.理工科类不低于55万，上不封顶；</w:t>
            </w:r>
          </w:p>
          <w:p w:rsidR="00AB68F0" w:rsidRPr="00AB68F0" w:rsidRDefault="00AB68F0" w:rsidP="00AB68F0">
            <w:pPr>
              <w:adjustRightInd/>
              <w:snapToGrid/>
              <w:spacing w:after="0" w:line="360" w:lineRule="atLeast"/>
              <w:rPr>
                <w:rFonts w:ascii="宋体" w:eastAsia="宋体" w:hAnsi="宋体" w:cs="Arial" w:hint="eastAsia"/>
                <w:color w:val="222222"/>
                <w:sz w:val="21"/>
                <w:szCs w:val="21"/>
              </w:rPr>
            </w:pPr>
            <w:r w:rsidRPr="00AB68F0">
              <w:rPr>
                <w:rFonts w:ascii="宋体" w:eastAsia="宋体" w:hAnsi="宋体" w:cs="Arial" w:hint="eastAsia"/>
                <w:color w:val="222222"/>
                <w:sz w:val="21"/>
                <w:szCs w:val="21"/>
              </w:rPr>
              <w:t>3.人文社科不低于50万，上不封顶；</w:t>
            </w:r>
          </w:p>
          <w:p w:rsidR="00AB68F0" w:rsidRPr="00AB68F0" w:rsidRDefault="00AB68F0" w:rsidP="00AB68F0">
            <w:pPr>
              <w:adjustRightInd/>
              <w:snapToGrid/>
              <w:spacing w:after="0" w:line="360" w:lineRule="atLeast"/>
              <w:rPr>
                <w:rFonts w:ascii="宋体" w:eastAsia="宋体" w:hAnsi="宋体" w:cs="Arial"/>
                <w:color w:val="222222"/>
                <w:sz w:val="21"/>
                <w:szCs w:val="21"/>
              </w:rPr>
            </w:pPr>
            <w:r w:rsidRPr="00AB68F0">
              <w:rPr>
                <w:rFonts w:ascii="宋体" w:eastAsia="宋体" w:hAnsi="宋体" w:cs="Arial" w:hint="eastAsia"/>
                <w:color w:val="222222"/>
                <w:sz w:val="21"/>
                <w:szCs w:val="21"/>
              </w:rPr>
              <w:t>4.可购买学校教师公寓，交房前可根据学校周转房管理办法，提供校内周转房租住。</w:t>
            </w:r>
          </w:p>
        </w:tc>
      </w:tr>
      <w:tr w:rsidR="00AB68F0" w:rsidRPr="00AB68F0" w:rsidTr="00AB68F0">
        <w:trPr>
          <w:tblCellSpacing w:w="0" w:type="dxa"/>
          <w:jc w:val="center"/>
        </w:trPr>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AB68F0" w:rsidRPr="00AB68F0" w:rsidRDefault="00AB68F0" w:rsidP="00AB68F0">
            <w:pPr>
              <w:adjustRightInd/>
              <w:snapToGrid/>
              <w:spacing w:after="0" w:line="360" w:lineRule="atLeast"/>
              <w:rPr>
                <w:rFonts w:ascii="宋体" w:eastAsia="宋体" w:hAnsi="宋体" w:cs="Arial"/>
                <w:color w:val="222222"/>
                <w:sz w:val="21"/>
                <w:szCs w:val="21"/>
              </w:rPr>
            </w:pPr>
            <w:r w:rsidRPr="00AB68F0">
              <w:rPr>
                <w:rFonts w:ascii="宋体" w:eastAsia="宋体" w:hAnsi="宋体" w:cs="Arial" w:hint="eastAsia"/>
                <w:color w:val="222222"/>
                <w:sz w:val="21"/>
                <w:szCs w:val="21"/>
              </w:rPr>
              <w:t>学校酌情解决引进人才的配偶随迁、子女入学问题，并提供完善的校内高层次人才培养体系。</w:t>
            </w:r>
            <w:r w:rsidRPr="00AB68F0">
              <w:rPr>
                <w:rFonts w:ascii="宋体" w:eastAsia="宋体" w:hAnsi="宋体" w:cs="Arial" w:hint="eastAsia"/>
                <w:color w:val="222222"/>
                <w:sz w:val="21"/>
                <w:szCs w:val="21"/>
              </w:rPr>
              <w:br/>
              <w:t>1.配偶：本着人岗适配的原则，结合其本人的履职能力、学校岗位空缺情况，对具有本科及以上学历的高层次人才配偶，以非实名人员控制数的方式照顾性安置。按第四层次及以上待遇引进人才的配偶，如无法安排工作，可一次性享受10-20万元（税前）的生活补助。</w:t>
            </w:r>
            <w:r w:rsidRPr="00AB68F0">
              <w:rPr>
                <w:rFonts w:ascii="宋体" w:eastAsia="宋体" w:hAnsi="宋体" w:cs="Arial" w:hint="eastAsia"/>
                <w:color w:val="222222"/>
                <w:sz w:val="21"/>
                <w:szCs w:val="21"/>
              </w:rPr>
              <w:br/>
              <w:t>2.子女：本着就近入学的原则，协助解决子女义务教育阶段入学问题。</w:t>
            </w:r>
            <w:r w:rsidRPr="00AB68F0">
              <w:rPr>
                <w:rFonts w:ascii="宋体" w:eastAsia="宋体" w:hAnsi="宋体" w:cs="Arial" w:hint="eastAsia"/>
                <w:color w:val="222222"/>
                <w:sz w:val="21"/>
                <w:szCs w:val="21"/>
              </w:rPr>
              <w:br/>
              <w:t>3.校内高层次人才培养体系：引进的高层次人才可通过遴选、推荐进入校内培养“五大计划”（“大师计划”“拔尖计划”“英才计划”“提升计划”“团队计划”），以面向国家级人才、学科带头人、学术骨干、青年后备人才和高水平科研团队进行针对性培养。</w:t>
            </w:r>
          </w:p>
        </w:tc>
      </w:tr>
    </w:tbl>
    <w:p w:rsidR="004358AB" w:rsidRDefault="004358AB" w:rsidP="00323B43"/>
    <w:sectPr w:rsidR="004358AB" w:rsidSect="004358AB">
      <w:pgSz w:w="11906" w:h="16838"/>
      <w:pgMar w:top="1440" w:right="1800" w:bottom="1440" w:left="1800" w:header="708" w:footer="708" w:gutter="0"/>
      <w:cols w:space="708"/>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compat>
    <w:useFELayout/>
  </w:compat>
  <w:rsids>
    <w:rsidRoot w:val="00AB68F0"/>
    <w:rsid w:val="00323B43"/>
    <w:rsid w:val="003D37D8"/>
    <w:rsid w:val="004358AB"/>
    <w:rsid w:val="0064020C"/>
    <w:rsid w:val="008B7726"/>
    <w:rsid w:val="009D5DCF"/>
    <w:rsid w:val="00AB68F0"/>
    <w:rsid w:val="00FD266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266C"/>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FD266C"/>
    <w:pPr>
      <w:adjustRightInd w:val="0"/>
      <w:snapToGrid w:val="0"/>
      <w:spacing w:after="0" w:line="240" w:lineRule="auto"/>
    </w:pPr>
    <w:rPr>
      <w:rFonts w:ascii="Tahoma" w:hAnsi="Tahoma"/>
    </w:rPr>
  </w:style>
  <w:style w:type="paragraph" w:styleId="a4">
    <w:name w:val="Normal (Web)"/>
    <w:basedOn w:val="a"/>
    <w:uiPriority w:val="99"/>
    <w:unhideWhenUsed/>
    <w:rsid w:val="00AB68F0"/>
    <w:pPr>
      <w:adjustRightInd/>
      <w:snapToGrid/>
      <w:spacing w:before="100" w:beforeAutospacing="1" w:after="100" w:afterAutospacing="1"/>
    </w:pPr>
    <w:rPr>
      <w:rFonts w:ascii="宋体" w:eastAsia="宋体" w:hAnsi="宋体" w:cs="宋体"/>
      <w:sz w:val="24"/>
      <w:szCs w:val="24"/>
    </w:rPr>
  </w:style>
  <w:style w:type="character" w:styleId="a5">
    <w:name w:val="Strong"/>
    <w:basedOn w:val="a0"/>
    <w:uiPriority w:val="22"/>
    <w:qFormat/>
    <w:rsid w:val="00AB68F0"/>
    <w:rPr>
      <w:b/>
      <w:bCs/>
    </w:rPr>
  </w:style>
</w:styles>
</file>

<file path=word/webSettings.xml><?xml version="1.0" encoding="utf-8"?>
<w:webSettings xmlns:r="http://schemas.openxmlformats.org/officeDocument/2006/relationships" xmlns:w="http://schemas.openxmlformats.org/wordprocessingml/2006/main">
  <w:divs>
    <w:div w:id="61878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302</Words>
  <Characters>1722</Characters>
  <Application>Microsoft Office Word</Application>
  <DocSecurity>0</DocSecurity>
  <Lines>14</Lines>
  <Paragraphs>4</Paragraphs>
  <ScaleCrop>false</ScaleCrop>
  <Company/>
  <LinksUpToDate>false</LinksUpToDate>
  <CharactersWithSpaces>2020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2020-03-28T08:15:00Z</dcterms:created>
  <dcterms:modified xsi:type="dcterms:W3CDTF">2020-03-28T08:16:00Z</dcterms:modified>
</cp:coreProperties>
</file>