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394"/>
        <w:gridCol w:w="640"/>
        <w:gridCol w:w="907"/>
        <w:gridCol w:w="607"/>
        <w:gridCol w:w="1490"/>
        <w:gridCol w:w="382"/>
        <w:gridCol w:w="963"/>
        <w:gridCol w:w="948"/>
        <w:gridCol w:w="584"/>
        <w:gridCol w:w="2553"/>
        <w:gridCol w:w="573"/>
        <w:gridCol w:w="3481"/>
        <w:gridCol w:w="44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c>
          <w:tcPr>
            <w:tcW w:w="14220" w:type="dxa"/>
            <w:gridSpan w:val="13"/>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附件1</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2020年校园招聘专任教师岗位汇总表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岗位号</w:t>
            </w:r>
          </w:p>
        </w:tc>
        <w:tc>
          <w:tcPr>
            <w:tcW w:w="78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招聘</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单位</w:t>
            </w:r>
          </w:p>
        </w:tc>
        <w:tc>
          <w:tcPr>
            <w:tcW w:w="96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岗位名称</w:t>
            </w:r>
          </w:p>
        </w:tc>
        <w:tc>
          <w:tcPr>
            <w:tcW w:w="73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岗位类别</w:t>
            </w:r>
          </w:p>
        </w:tc>
        <w:tc>
          <w:tcPr>
            <w:tcW w:w="184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岗位简介</w:t>
            </w:r>
          </w:p>
        </w:tc>
        <w:tc>
          <w:tcPr>
            <w:tcW w:w="43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招聘</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人数</w:t>
            </w:r>
          </w:p>
        </w:tc>
        <w:tc>
          <w:tcPr>
            <w:tcW w:w="6090" w:type="dxa"/>
            <w:gridSpan w:val="4"/>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招聘条件</w:t>
            </w:r>
          </w:p>
        </w:tc>
        <w:tc>
          <w:tcPr>
            <w:tcW w:w="69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招聘方式</w:t>
            </w:r>
          </w:p>
        </w:tc>
        <w:tc>
          <w:tcPr>
            <w:tcW w:w="168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用人单位联系人及联系方式</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78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96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73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184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43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2190" w:type="dxa"/>
            <w:gridSpan w:val="2"/>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w:t>
            </w:r>
          </w:p>
        </w:tc>
        <w:tc>
          <w:tcPr>
            <w:tcW w:w="705"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学历</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学位</w:t>
            </w:r>
          </w:p>
        </w:tc>
        <w:tc>
          <w:tcPr>
            <w:tcW w:w="318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其他条件</w:t>
            </w:r>
          </w:p>
        </w:tc>
        <w:tc>
          <w:tcPr>
            <w:tcW w:w="69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168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78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96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73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184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43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本科</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研究生</w:t>
            </w:r>
          </w:p>
        </w:tc>
        <w:tc>
          <w:tcPr>
            <w:tcW w:w="705"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18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9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168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机动学院教师（一）</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从事机械类专业教学及科研工作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6</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机械类/航空航天类/</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农业机械化工程</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机械工程四个二级学科/航空宇航科学与技术/农业机械化工程</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1.本科或硕士阶段为一流大学和一流学科建设高校，或教育部第四轮学科评估结果在C-及以上的高校；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 本科和硕士有一个阶段与招聘专业相符即可。</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 含车辆工程专业1名（本科或硕士有一个阶段为车辆工程即可）</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曹迪</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18840727516 565356002@qq.com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机动学院教师（二）</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从事智能制造工程、机械电子工程专业教学及科研工作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电气类/自动化类/仪器类/ 农业电气化</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控制科学与控制工程/电气工程/农业电气化与自动化/ 仪器科学与技术</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 本科或硕士阶段为一流大学和一流学科建设高校，或教育部第四轮学科评估结果在C-及以上的高校；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2.本科和硕士有一个阶段与招聘专业相符即可。</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曹迪</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18840727516 565356002@qq.com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机动学院教师（三）</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从事力学相关领域教学及科研工作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力学相关专业</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力学相关专业</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 本科或硕士阶段为一流大学和一流学科建设高校，或教育部第四轮学科评估结果力学学科在C-及以上的高校，或本校与力学学科相关机械工程学科评估结果在C-及以上的高校；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2.本科和硕士有一个阶段与招聘专业相符即可。</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曹迪</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18840727516 565356002@qq.com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4</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机动学院教师（四）</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从事材料成型及控制工程教学及科研工作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材料成型及控制工程/材料加工工程</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材料加工工程</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 本科或硕士阶段为一流大学和一流学科建设高校，或教育部第四轮学科评估结果在C-及以上的高校；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 本科专业相关，硕士满足招聘专业要求，且硕士阶段研究方向与塑性成型过程数值模拟相关。</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曹迪</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18840727516 565356002@qq.com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5</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机动学院教师（五）</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从事新能源科学与工程专业教学及科研工作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5</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动力工程及工程热物理类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动力工程及工程热物理类/电气类</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1.本科或硕士阶段为一流大学和一流学科建设高校或所在的动力工程及工程热物理类专业的教育部第四轮学科评估结果在C-及以上。</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2.本科阶段为动力工程及工程热物理类专业。</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曹迪</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18840727516 565356002@qq.com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6</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电气学院</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教师</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（一）</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从事自动化专业教学及科研工作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仪器类/电气类/电子信息类/自动化类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电子</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科学与技术/信息与通信工程/控制科学与工程</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1.教育部第四轮学科评估结果C及以上高校。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2.本科和硕士阶段需同时满足招聘专业要求。</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车焕</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18940795215</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7</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电气学院</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教师</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（二）</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从事电气工程及自动化专业教学及科研工作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仪器类/电气类/电子信息类/自动化类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电气工程/农业电气化与自动化</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1.教育部第四轮学科评估结果C及以上高校。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2.本科和硕士阶段需同时满足招聘专业要求。</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皮红梅</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15941760296</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8</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电气学院</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教师</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（三 ）</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从事智能科学与技术专业教学及科研工作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计算机类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计算机科学与技术（硕士）</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1.教育部第四轮学科评估结果C及以上高校。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2.本科和硕士阶段需同时满足招聘专业要求。</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介龙梅</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13940751357</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9</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化环学院教师（一）</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从事化学工程与工艺或能源化学工程专业教学及科研工作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化学工程与工艺/能源化学工程</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化学工程与技术</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1.本科毕业院校为一流大学和一流学科建设高校或教育部第四轮学科（化学工程与技术）评估结果在B及以上的高校；入选2019年度国家级和省级一流本科专业建设点的专业。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2.本科和硕士阶段需同时满足招聘专业和学科要求；</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3.能讲授以下课程：天然气化工工艺学、可再生能源化工、化学反应工程、化工过程分析与合成、化工热力学、化学工艺学、化工设计基础（含Aspen软件)</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李昌丽</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15104170094</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2114054@qq.com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化环学院教师（二）</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从事应用化学专业教学及科研工作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应用化学/化学工程与工艺</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化学/化学工程与技术/环境科学与工程/ /食品科学与工程/海洋科学/材料科学与工程</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毕业院校为一流大学和一流学科建设高校或教育部第四轮学科（化学）评估结果在C-及以上的高校或教育部第四轮学科（化学工程与技术）评估结果在B及以上的高校；入选2019年度国家级和省级一流本科专业建设点的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2.本科和硕士阶段需同时满足招聘专业或学科。</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3.能讲授以下课程：化学反应过程与设备、应用电化学、高分子化学、化工设计基础等。</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李昌丽</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15104170094</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2114054@qq.com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11</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化环学院教师（三）</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从事基础化学专业教学及科研工作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化学类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化学类</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1.本科毕业院校为一流大学和一流学科建设高校或教育部第四轮学科（化学）评估结果在C-及以上的高校；入选2019年度国家级和省级一流本科专业建设点的专业。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2.本科和硕士段需满足招聘学科或专业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3.能讲授有机化学、物理化学、仪器分析等课程。</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李昌丽</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15104170094</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2114054@qq.com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12</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化环学院教师（四）</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从事环境科学与工程专业教学及科研工作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环境科学与工程类/食品科学与工程</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环境科学与工程/化学/化学工程与技术/食品科学与工程/海洋科学/</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毕业院校为一流大学和一流学科建设高校或教育部第四轮学科（环境科学与工程）评估结果在C及以上的高校；（食品科学与工程）评估结果在B及以上的高校；入选2019年度国家级和省级一流本科专业建设点的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2.本科和硕士阶段需同时满足招聘学科或专业。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3.能讲授以下课程：物理性污染控制工程、环境工程设计、环境影响评价及环境规划、环境系统工程与优化、环境噪声控制等。</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李昌丽</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15104170094</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2114054@qq.com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13</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材料学院教师（一）</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从事新能源材料与器件专业教学及科研工作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5</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一级学科为材料科学与工程（二级学科为材料物理与化学、材料学、材料加工工程）、一级学科为化学(二级学科为无机化学、物理化学、含化学物理)</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本科阶段为一流大学和一流学科建设高校或教育部第四轮学科评估结果在C-及以上的高校；本科和硕士同时满足招聘专业要求。</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联系人：李丹</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电话：18341788797</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邮箱：yklgmse@126.com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14</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材料学院教师（二）</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从事焊接技术与工程专业教学及科研工作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材料类、材料成型与控制专业等相关专业</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一级学科为材料科学与工程（二级学科为材料物理与化学、材料学、材料加工工程）</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本科阶段为一流大学和一流学科建设高校或教育部第四轮学科评估结果在C-及以上的高校；本科和硕士同时满足招聘专业要求。</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联系人：李丹</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电话：18341788797</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邮箱：yklgmse@126.com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15</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材料学院教师（三）</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从事材料科学与工程专业教学及科研工作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4</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一级学科为材料科学与工程（二级学科为材料物理与化学、材料学、材料加工工程）</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本科阶段为一流大学和一流学科建设高校或教育部第四轮学科评估结果在C-及以上的高校；本科和硕士同时满足招聘专业要求。</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联系人：李丹</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电话：18341788797</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邮箱：yklgmse@126.com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16</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材料学院教师（四）</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从事无机非金属材料工程专业教学及科研工作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一级学科为材料科学与工程（二级学科为材料物理与化学、材料学、材料加工工程）</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本科阶段为一流大学和一流学科建设高校或教育部第四轮学科评估结果在C-及以上的高校；本科和硕士同时满足招聘专业要求。</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联系人：李丹</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电话：18341788797</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邮箱：yklgmse@126.com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17</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材料学院教师（五）</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从事复合材料与工程专业教学及科研工作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5</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一级学科为材料科学与工程（二级学科为材料物理与化学、材料学、材料加工工程）</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本科阶段为一流大学和一流学科建设高校或教育部第四轮学科评估结果在C-及以上的高校；本科和硕士同时满足招聘专业要求。</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联系人：李丹</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电话：18341788797</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邮箱：yklgmse@126.com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经管学院教师（一）</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从事供应链管理专业教学及科研工作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管理科学与工程类/工商管理类/物流管理与工程类/数学类/统计学类/计算机类/交通运输类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应用经济学/管理科学与工程/工商管理/计算机科学与技术/交通运输工程/管理科学与工程/数学</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 硕士阶段为一流大学和一流学科建设高校或教育部第四轮学科评估结果C-及以上的高校；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2.本科或硕士至少有一个阶段有物流管理与工程类或交通运输类专业学习经历，另一阶段满足招聘要求专业；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3.硕士阶段为全日制普通高校硕士研究生毕业。</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赵骊</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13898755806    zlsea86@163.com</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19</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经管学院教师（二）</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从事金融类专业教学、科研工作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金融学/</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数学类/</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统计学类/</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金融工程</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金融学/</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数学类/</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统计学类/</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金融工程</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 硕士阶段为一流大学和一流学科建设高校或教育部第四轮学科评估结果C-及以上的高校；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2.本科或硕士至少有一个阶段有金融学类专业学习经历，另一阶段满足招聘要求专业；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3.硕士阶段为全日制普通高校硕士研究生毕业。</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赵骊</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13898755806    zlsea86@163.com</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经管学院教师（三）</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从事大数据管理与应用专业教学及科研工作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5</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计算机类/数学类/</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统计学类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计算机科学与技术类/数学类/统计学类/数量经济学/金融工程/管理科学与工程/系统工程/系统科学类</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硕士研究生及以上</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 硕士阶段为一流大学和一流学科建设高校或教育部第四轮学科评估结果C-及以上的高校；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2.硕士阶段为全日制普通高校硕士研究生毕业；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3.有计算机相关工作经验者优先。</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赵骊</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13898755806    zlsea86@163.com</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21</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经管学院教师（四）</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从事物流工程专业教学及科研工作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4</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机械类/</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交通运输类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机械类/</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交通运输类</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 硕士阶段为一流大学和一流学科建设高校或教育部第四轮学科评估结果C-及以上的高校；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2.本科或硕士至少有一个阶段有机械类或交通运输类专业学习经历；</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3.硕士阶段为全日制普通高校硕士研究生毕业。</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赵骊</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13898755806    zlsea86@163.com</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22</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经管学院教师（五）</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从事物流管理专业教学及科研工作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管理科学与工程类/工商管理类/物流管理与工程类/数学类/统计学类/计算机类/交通运输类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应用经济学/管理科学与工程/工商管理/计算机科学与技术/交通运输工程/管理科学与工程/数学</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 硕士阶段为一流大学和一流学科建设高校或教育部第四轮学科评估结果C-及以上的高校；</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2.本科或硕士至少有一个阶段有物流管理与工程类或交通运输类专业学习经历，另一阶段满足招聘要求专业；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3.硕士阶段为全日制普通高校硕士研究生毕业。</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赵骊</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13898755806    zlsea86@163.com</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23</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基础部教师（一）</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从事物理教学及科研工作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物理学类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物理学/ 电子科学与技术</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1.本科或硕士阶段为一流大学和一流学科建设高校或教育部第四轮学科评估结果在C-及以上。</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2.本科阶段为物理类专业。</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xml:space="preserve">蒋倩云 </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18892624920</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229496753@qq.com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24</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基础部教师（二）</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从事数学教学及科研工作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数学类</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数学</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1．本科或硕士阶段为一流大学和一流学科建设高校或教育部第四轮学科评估结果在C-及以上。</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2.本科和硕士阶段需同时满足招聘专业要求。</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xml:space="preserve">蒋倩云 </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18892624920</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229496753@qq.com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25</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马克思学院教师</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从事思政课教学、科研及系部秘书工作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哲学</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法学</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教育学</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历史学</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马克思主义哲学/科学技术哲学/政治学类/中国近现代史/马克思主义理论类/学科教学（思政）</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硕士研究生</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1.本科、研究生专业需同时满足招聘专业需求。</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2.中共党员（含预备党员）。</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李苗</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15041746336</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122678392@qq.com</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45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26</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营口理工学院</w:t>
            </w:r>
          </w:p>
        </w:tc>
        <w:tc>
          <w:tcPr>
            <w:tcW w:w="9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外语部</w:t>
            </w:r>
          </w:p>
        </w:tc>
        <w:tc>
          <w:tcPr>
            <w:tcW w:w="7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专业技术</w:t>
            </w:r>
          </w:p>
        </w:tc>
        <w:tc>
          <w:tcPr>
            <w:tcW w:w="184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从事大学英语教学、科研</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及系部秘书工作</w:t>
            </w:r>
          </w:p>
        </w:tc>
        <w:tc>
          <w:tcPr>
            <w:tcW w:w="4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w:t>
            </w:r>
          </w:p>
        </w:tc>
        <w:tc>
          <w:tcPr>
            <w:tcW w:w="114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英语</w:t>
            </w:r>
          </w:p>
        </w:tc>
        <w:tc>
          <w:tcPr>
            <w:tcW w:w="103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英语语言文学</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外国语言学及应用语言学（英语）</w:t>
            </w:r>
          </w:p>
        </w:tc>
        <w:tc>
          <w:tcPr>
            <w:tcW w:w="70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硕士</w:t>
            </w:r>
          </w:p>
        </w:tc>
        <w:tc>
          <w:tcPr>
            <w:tcW w:w="31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1.本科阶段与研究生阶段均为全日制普通高校毕业；</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2.本科和硕士阶段所学专业需同时满足招聘专业要求；</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3．本科或硕士阶段为一流大学和一流学科建设高校或教育部第四轮学科评估结果C+及以上等级院校或具有国外高校留学经历。</w:t>
            </w:r>
          </w:p>
        </w:tc>
        <w:tc>
          <w:tcPr>
            <w:tcW w:w="69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考核</w:t>
            </w:r>
          </w:p>
        </w:tc>
        <w:tc>
          <w:tcPr>
            <w:tcW w:w="16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徐娜</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15542763589</w:t>
            </w:r>
          </w:p>
        </w:tc>
        <w:tc>
          <w:tcPr>
            <w:tcW w:w="52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r>
    </w:tbl>
    <w:p>
      <w:pPr>
        <w:pStyle w:val="2"/>
        <w:keepNext w:val="0"/>
        <w:keepLines w:val="0"/>
        <w:widowControl/>
        <w:suppressLineNumbers w:val="0"/>
        <w:wordWrap w:val="0"/>
        <w:spacing w:before="378" w:beforeAutospacing="0" w:after="226" w:afterAutospacing="0" w:line="18" w:lineRule="atLeast"/>
        <w:ind w:left="0" w:right="0" w:firstLine="420"/>
        <w:jc w:val="both"/>
        <w:rPr>
          <w:rFonts w:hint="eastAsia" w:ascii="宋体" w:hAnsi="宋体" w:eastAsia="宋体" w:cs="宋体"/>
        </w:rPr>
      </w:pPr>
      <w:r>
        <w:rPr>
          <w:rFonts w:hint="eastAsia" w:ascii="宋体" w:hAnsi="宋体" w:eastAsia="宋体" w:cs="宋体"/>
          <w:color w:val="333333"/>
          <w:sz w:val="21"/>
          <w:szCs w:val="21"/>
          <w:shd w:val="clear" w:fill="FFFFFF"/>
        </w:rPr>
        <w:t> </w:t>
      </w:r>
    </w:p>
    <w:p>
      <w:pPr>
        <w:pStyle w:val="2"/>
        <w:keepNext w:val="0"/>
        <w:keepLines w:val="0"/>
        <w:widowControl/>
        <w:suppressLineNumbers w:val="0"/>
        <w:wordWrap w:val="0"/>
        <w:spacing w:before="378" w:beforeAutospacing="0" w:after="226" w:afterAutospacing="0" w:line="18" w:lineRule="atLeast"/>
        <w:ind w:left="0" w:right="0" w:firstLine="420"/>
        <w:jc w:val="both"/>
        <w:rPr>
          <w:rFonts w:hint="eastAsia" w:ascii="宋体" w:hAnsi="宋体" w:eastAsia="宋体" w:cs="宋体"/>
        </w:rPr>
      </w:pPr>
      <w:r>
        <w:rPr>
          <w:rFonts w:hint="eastAsia" w:ascii="宋体" w:hAnsi="宋体" w:eastAsia="宋体" w:cs="宋体"/>
          <w:color w:val="333333"/>
          <w:sz w:val="21"/>
          <w:szCs w:val="21"/>
          <w:shd w:val="clear" w:fill="FFFFFF"/>
        </w:rPr>
        <w:t> </w:t>
      </w:r>
    </w:p>
    <w:p>
      <w:pPr>
        <w:pStyle w:val="2"/>
        <w:keepNext w:val="0"/>
        <w:keepLines w:val="0"/>
        <w:widowControl/>
        <w:suppressLineNumbers w:val="0"/>
        <w:wordWrap w:val="0"/>
        <w:spacing w:before="378" w:beforeAutospacing="0" w:after="226" w:afterAutospacing="0" w:line="18" w:lineRule="atLeast"/>
        <w:ind w:left="0" w:right="0" w:firstLine="420"/>
        <w:jc w:val="both"/>
        <w:rPr>
          <w:rFonts w:hint="eastAsia" w:ascii="宋体" w:hAnsi="宋体" w:eastAsia="宋体" w:cs="宋体"/>
        </w:rPr>
      </w:pPr>
      <w:r>
        <w:rPr>
          <w:rFonts w:hint="eastAsia" w:ascii="宋体" w:hAnsi="宋体" w:eastAsia="宋体" w:cs="宋体"/>
          <w:color w:val="333333"/>
          <w:sz w:val="21"/>
          <w:szCs w:val="21"/>
          <w:shd w:val="clear" w:fill="FFFFFF"/>
        </w:rPr>
        <w:t> </w:t>
      </w:r>
    </w:p>
    <w:p>
      <w:pPr>
        <w:pStyle w:val="2"/>
        <w:keepNext w:val="0"/>
        <w:keepLines w:val="0"/>
        <w:widowControl/>
        <w:suppressLineNumbers w:val="0"/>
        <w:wordWrap w:val="0"/>
        <w:spacing w:before="378" w:beforeAutospacing="0" w:after="226" w:afterAutospacing="0" w:line="18" w:lineRule="atLeast"/>
        <w:ind w:left="0" w:right="0" w:firstLine="420"/>
        <w:jc w:val="both"/>
        <w:rPr>
          <w:rFonts w:hint="eastAsia" w:ascii="宋体" w:hAnsi="宋体" w:eastAsia="宋体" w:cs="宋体"/>
        </w:rPr>
      </w:pPr>
      <w:r>
        <w:rPr>
          <w:rFonts w:hint="eastAsia" w:ascii="宋体" w:hAnsi="宋体" w:eastAsia="宋体" w:cs="宋体"/>
          <w:color w:val="333333"/>
          <w:sz w:val="21"/>
          <w:szCs w:val="21"/>
          <w:shd w:val="clear" w:fill="FFFFFF"/>
        </w:rPr>
        <w:t> </w:t>
      </w:r>
    </w:p>
    <w:p>
      <w:pPr>
        <w:pStyle w:val="2"/>
        <w:keepNext w:val="0"/>
        <w:keepLines w:val="0"/>
        <w:widowControl/>
        <w:suppressLineNumbers w:val="0"/>
        <w:wordWrap w:val="0"/>
        <w:spacing w:before="378" w:beforeAutospacing="0" w:after="226" w:afterAutospacing="0" w:line="18" w:lineRule="atLeast"/>
        <w:ind w:left="0" w:right="0" w:firstLine="420"/>
        <w:jc w:val="both"/>
        <w:rPr>
          <w:rFonts w:hint="eastAsia" w:ascii="宋体" w:hAnsi="宋体" w:eastAsia="宋体" w:cs="宋体"/>
        </w:rPr>
      </w:pPr>
      <w:r>
        <w:rPr>
          <w:rFonts w:hint="eastAsia" w:ascii="宋体" w:hAnsi="宋体" w:eastAsia="宋体" w:cs="宋体"/>
          <w:color w:val="333333"/>
          <w:sz w:val="21"/>
          <w:szCs w:val="21"/>
          <w:shd w:val="clear" w:fill="FFFFFF"/>
        </w:rPr>
        <w:t> </w:t>
      </w:r>
    </w:p>
    <w:p>
      <w:pPr>
        <w:pStyle w:val="2"/>
        <w:keepNext w:val="0"/>
        <w:keepLines w:val="0"/>
        <w:widowControl/>
        <w:suppressLineNumbers w:val="0"/>
        <w:wordWrap w:val="0"/>
        <w:spacing w:before="378" w:beforeAutospacing="0" w:after="226" w:afterAutospacing="0" w:line="18" w:lineRule="atLeast"/>
        <w:ind w:left="0" w:right="0" w:firstLine="420"/>
        <w:jc w:val="both"/>
        <w:rPr>
          <w:rFonts w:hint="eastAsia" w:ascii="宋体" w:hAnsi="宋体" w:eastAsia="宋体" w:cs="宋体"/>
        </w:rPr>
      </w:pPr>
      <w:r>
        <w:rPr>
          <w:rFonts w:hint="eastAsia" w:ascii="宋体" w:hAnsi="宋体" w:eastAsia="宋体" w:cs="宋体"/>
          <w:color w:val="333333"/>
          <w:sz w:val="21"/>
          <w:szCs w:val="21"/>
          <w:shd w:val="clear" w:fill="FFFFFF"/>
        </w:rPr>
        <w:t>附件2</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49"/>
        <w:gridCol w:w="1844"/>
        <w:gridCol w:w="1332"/>
        <w:gridCol w:w="6019"/>
        <w:gridCol w:w="422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c>
          <w:tcPr>
            <w:tcW w:w="15075" w:type="dxa"/>
            <w:gridSpan w:val="5"/>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校招试讲内容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序号</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岗  位</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课程名</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推荐书目</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内    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机动学院教师（一）</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机械设计</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《机械设计》，濮良贵主编，高等教育出版社</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螺栓组结构设计及受力分析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机动学院教师（二）</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自动控制原理</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《自动控制原理》，王建辉主编，清华大学出版社</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自动控制系统的代数稳定判据</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3</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机动学院教师（三）</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材料力学</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《材料力学》第八版，刘鸿文主编，高等教育出版社</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第4.4节 剪力方程和弯曲方程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4</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机动学院教师（四）</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金属塑性成形原理</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xml:space="preserve">1.王平, 崔建忠. 金属塑性成形力学. 冶金工业出版社,2. 董湘怀. 金属塑性成形原理. 机械工业出版社. </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屈服准则的基本概念、一般表达形式和Tresca屈服准则的推导过程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5</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机动学院教师（五）</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传热学</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杨世铭，陶文铨，传热学（第四版），高等教育出版社</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2.2导热问题的数学描写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6</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电气学院教师（一）</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胡寿松主编《自动控制原理基础教程》</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《自动控制原理基础教程》讲授第四章线性连续系统的频域分析 第一节频率特性函数。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7</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电气学院教师（二）</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王兆安主编《电力电子技术》</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《电力电子技术》讲授第2章整流电路2.12节 单相桥式全控整流。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8</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电气学院教师（三）</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无限制</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数据结构中的单链表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9</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化环学院教师（一）</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《化工设计概论》作者：侯文顺；出版社：化学工业出版</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第三章 第一节 物料衡算（连续过程的物料衡算）</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10</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化环学院教师（二）</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《精细化工过程与设备》作者：杨春晖；出版社：哈尔滨工业大学出版社；出版时间：2005年1月</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第二章 第二节 间歇操作釜式反应器工艺计算</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11</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化环学院教师（三）</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天津大学有机化学教研室.《有机化学》(第五版).北京：高教出版社，20142017年8月</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第十一章第五节11.5.3羟醛缩合</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12</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化环学院教师（四）</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固体废物处理与处置，作者：唐雪娇，沈伯雄.出版社：化学工业出版社；ISBN：9787122308764，出版时间2018年3月第2版</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第4章固体废物分选 4.2筛选效率及影响因素</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13</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材料学院教师（一）</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胡赓祥，蔡珣等编著，材料科学基础（第三版），上海交通大学出版社，2010</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共晶相图及其合金凝固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14</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材料学院教师（二）</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参考教材：方洪渊 编著 焊接结构学（第二版），机械工业出版社，2017</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焊接残余应力</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15</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材料学院教师（三）</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参考教材：胡赓祥，蔡珣等编著，材料科学基础（第三版），上海交通大学出版社，2010</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回复和再结晶及其应用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16</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材料学院教师（四）</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参考教材：武志红 丁东海 编著 耐火材料工艺学，冶金工业出版社，2017</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第七章含碳耐火材料 第二节镁碳质耐火材料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17</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材料学院教师（五）</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《材料科学基础》 上海交通大学出版社（第三版）</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5.2.1 单晶体的塑性变形 1.滑移主要知识点包括滑移线与滑移带、滑移系、滑移时晶面的转动、多系滑移、滑移的位错机制。</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18</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经管学院教师（一）</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供应链管理　</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《供应链管理（第二版）》，作者马士华，华中科技大学出版社</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第四章供应链网络的构建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19</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经管学院教师（二）</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金融学</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时间价值计算</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20</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经管学院教师（三）</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统计学</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统计量及抽样分布</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21</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经管学院教师（四）</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现代物流技术与装备</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参考教材：《现代物流技术与装备》唐四元 马静 清华大学出版社</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第五章 5.4.3自动分拣输送系统</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22</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经管学院教师（五）</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物流系统规划与设计</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 </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物流系统规划设计与评价</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23</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基础部教师（一）</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大学物理简明教程（第三版），赵近芳、王登龙主编北京邮电大学出版社</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第七章第二节--高斯定理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24</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基础部教师（二）</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高等数学（第六版 上册），同济大学数学系编高等教育出版社</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第二章第一节--导数概念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25</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马克思学院教师</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马克思主义基本原理概论　</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本书编写组，《马克思主义基本原理概论》，高等教育出版社2018年版</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第一章第二节  对立统一规律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26</w:t>
            </w:r>
          </w:p>
        </w:tc>
        <w:tc>
          <w:tcPr>
            <w:tcW w:w="196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外语部</w:t>
            </w:r>
          </w:p>
        </w:tc>
        <w:tc>
          <w:tcPr>
            <w:tcW w:w="1455"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大学英语</w:t>
            </w:r>
          </w:p>
        </w:tc>
        <w:tc>
          <w:tcPr>
            <w:tcW w:w="651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《新视野大学英语2（第三版）》读写教程 外语教学与研究出版社 2015年6月第3版</w:t>
            </w:r>
          </w:p>
        </w:tc>
        <w:tc>
          <w:tcPr>
            <w:tcW w:w="456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Unit 2 Text A (第二单元A课文)</w:t>
            </w:r>
          </w:p>
        </w:tc>
      </w:tr>
    </w:tbl>
    <w:p>
      <w:pPr>
        <w:pStyle w:val="2"/>
        <w:keepNext w:val="0"/>
        <w:keepLines w:val="0"/>
        <w:widowControl/>
        <w:suppressLineNumbers w:val="0"/>
        <w:wordWrap w:val="0"/>
        <w:spacing w:before="378" w:beforeAutospacing="0" w:after="226" w:afterAutospacing="0" w:line="18" w:lineRule="atLeast"/>
        <w:ind w:left="0" w:right="0" w:firstLine="420"/>
        <w:jc w:val="both"/>
        <w:rPr>
          <w:rFonts w:hint="eastAsia" w:ascii="宋体" w:hAnsi="宋体" w:eastAsia="宋体" w:cs="宋体"/>
        </w:rPr>
      </w:pPr>
      <w:r>
        <w:rPr>
          <w:rFonts w:hint="eastAsia" w:ascii="宋体" w:hAnsi="宋体" w:eastAsia="宋体" w:cs="宋体"/>
          <w:color w:val="333333"/>
          <w:sz w:val="21"/>
          <w:szCs w:val="21"/>
          <w:shd w:val="clear" w:fill="FFFFFF"/>
        </w:rPr>
        <w:t> </w:t>
      </w:r>
    </w:p>
    <w:p>
      <w:pPr>
        <w:rPr>
          <w:rFonts w:hint="eastAsia" w:ascii="宋体" w:hAnsi="宋体" w:eastAsia="宋体" w:cs="宋体"/>
          <w:color w:val="333333"/>
          <w:sz w:val="21"/>
          <w:szCs w:val="21"/>
          <w:shd w:val="clear" w:fill="FFFFFF"/>
        </w:rPr>
      </w:pPr>
      <w:r>
        <w:rPr>
          <w:rFonts w:hint="eastAsia" w:ascii="宋体" w:hAnsi="宋体" w:eastAsia="宋体" w:cs="宋体"/>
          <w:color w:val="333333"/>
          <w:sz w:val="21"/>
          <w:szCs w:val="21"/>
          <w:shd w:val="clear" w:fill="FFFFFF"/>
        </w:rPr>
        <w:br w:type="page"/>
      </w:r>
    </w:p>
    <w:p>
      <w:pPr>
        <w:pStyle w:val="2"/>
        <w:keepNext w:val="0"/>
        <w:keepLines w:val="0"/>
        <w:widowControl/>
        <w:suppressLineNumbers w:val="0"/>
        <w:wordWrap w:val="0"/>
        <w:spacing w:before="378" w:beforeAutospacing="0" w:after="226" w:afterAutospacing="0" w:line="18" w:lineRule="atLeast"/>
        <w:ind w:left="0" w:right="0" w:firstLine="420"/>
        <w:jc w:val="both"/>
        <w:rPr>
          <w:rFonts w:hint="eastAsia" w:ascii="宋体" w:hAnsi="宋体" w:eastAsia="宋体" w:cs="宋体"/>
        </w:rPr>
      </w:pPr>
      <w:bookmarkStart w:id="0" w:name="_GoBack"/>
      <w:bookmarkEnd w:id="0"/>
      <w:r>
        <w:rPr>
          <w:rFonts w:hint="eastAsia" w:ascii="宋体" w:hAnsi="宋体" w:eastAsia="宋体" w:cs="宋体"/>
          <w:color w:val="333333"/>
          <w:sz w:val="21"/>
          <w:szCs w:val="21"/>
          <w:shd w:val="clear" w:fill="FFFFFF"/>
        </w:rPr>
        <w:t>附件3</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3450"/>
        <w:gridCol w:w="3435"/>
        <w:gridCol w:w="370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0590" w:type="dxa"/>
            <w:gridSpan w:val="3"/>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2020年分批次开展校园招聘专任教师计划表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场次</w:t>
            </w:r>
          </w:p>
        </w:tc>
        <w:tc>
          <w:tcPr>
            <w:tcW w:w="3435"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时间安排</w:t>
            </w: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招聘岗位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第一场</w:t>
            </w:r>
          </w:p>
        </w:tc>
        <w:tc>
          <w:tcPr>
            <w:tcW w:w="3435" w:type="dxa"/>
            <w:vMerge w:val="restart"/>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7月20日14:00-17:00</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（资格审核）</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7月21日8:00</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（面试）</w:t>
            </w: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材料学院教师（一）（二）（三）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材料学院教师（四）（五）</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马克思学院教师</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基础部教师（一）（二）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外语部教师</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第二场</w:t>
            </w:r>
          </w:p>
        </w:tc>
        <w:tc>
          <w:tcPr>
            <w:tcW w:w="3435" w:type="dxa"/>
            <w:vMerge w:val="restart"/>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7月23日14:00-17:00</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（资格审核）</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7月24日7:00</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（面试）</w:t>
            </w: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电气学院教师（一）（二）（三）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化环学院教师（一）（四）</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经管学院教师（二）（三）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第三场</w:t>
            </w:r>
          </w:p>
        </w:tc>
        <w:tc>
          <w:tcPr>
            <w:tcW w:w="3435" w:type="dxa"/>
            <w:vMerge w:val="restart"/>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7月25日14:00-17:00</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（资格审核）</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7月26日8:00</w:t>
            </w:r>
          </w:p>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（面试）</w:t>
            </w: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机动学院教师（三）（四）（五）</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化环学院教师（二）（三）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45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435" w:type="dxa"/>
            <w:vMerge w:val="continue"/>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rPr>
                <w:rFonts w:hint="eastAsia" w:ascii="宋体" w:hAnsi="宋体" w:eastAsia="宋体" w:cs="宋体"/>
                <w:color w:val="333333"/>
                <w:sz w:val="21"/>
                <w:szCs w:val="21"/>
              </w:rPr>
            </w:pPr>
          </w:p>
        </w:tc>
        <w:tc>
          <w:tcPr>
            <w:tcW w:w="3690" w:type="dxa"/>
            <w:tcBorders>
              <w:top w:val="outset" w:color="000000" w:sz="6" w:space="0"/>
              <w:left w:val="outset" w:color="000000" w:sz="6" w:space="0"/>
              <w:bottom w:val="outset" w:color="000000" w:sz="6" w:space="0"/>
              <w:right w:val="outset" w:color="000000" w:sz="6" w:space="0"/>
            </w:tcBorders>
            <w:shd w:val="clear"/>
            <w:noWrap/>
            <w:tcMar>
              <w:top w:w="0" w:type="dxa"/>
              <w:left w:w="0" w:type="dxa"/>
              <w:bottom w:w="0" w:type="dxa"/>
              <w:right w:w="0" w:type="dxa"/>
            </w:tcMar>
            <w:vAlign w:val="center"/>
          </w:tcPr>
          <w:p>
            <w:pPr>
              <w:pStyle w:val="2"/>
              <w:keepNext w:val="0"/>
              <w:keepLines w:val="0"/>
              <w:widowControl/>
              <w:suppressLineNumbers w:val="0"/>
              <w:spacing w:before="225" w:beforeAutospacing="0" w:after="225" w:afterAutospacing="0" w:line="18" w:lineRule="atLeast"/>
              <w:jc w:val="both"/>
              <w:rPr>
                <w:rFonts w:hint="eastAsia" w:ascii="宋体" w:hAnsi="宋体" w:eastAsia="宋体" w:cs="宋体"/>
              </w:rPr>
            </w:pPr>
            <w:r>
              <w:rPr>
                <w:rFonts w:hint="eastAsia" w:ascii="宋体" w:hAnsi="宋体" w:eastAsia="宋体" w:cs="宋体"/>
                <w:color w:val="333333"/>
                <w:sz w:val="21"/>
                <w:szCs w:val="21"/>
              </w:rPr>
              <w:t>经管学院教师（一）（四）（五）</w:t>
            </w:r>
          </w:p>
        </w:tc>
      </w:tr>
    </w:tbl>
    <w:p>
      <w:pPr>
        <w:pStyle w:val="2"/>
        <w:keepNext w:val="0"/>
        <w:keepLines w:val="0"/>
        <w:widowControl/>
        <w:suppressLineNumbers w:val="0"/>
        <w:wordWrap w:val="0"/>
        <w:spacing w:before="378" w:beforeAutospacing="0" w:after="226" w:afterAutospacing="0" w:line="18" w:lineRule="atLeast"/>
        <w:ind w:left="0" w:right="0" w:firstLine="420"/>
        <w:jc w:val="both"/>
        <w:rPr>
          <w:rFonts w:hint="eastAsia" w:ascii="宋体" w:hAnsi="宋体" w:eastAsia="宋体" w:cs="宋体"/>
        </w:rPr>
      </w:pPr>
      <w:r>
        <w:rPr>
          <w:rFonts w:hint="eastAsia" w:ascii="宋体" w:hAnsi="宋体" w:eastAsia="宋体" w:cs="宋体"/>
          <w:color w:val="333333"/>
          <w:sz w:val="21"/>
          <w:szCs w:val="21"/>
          <w:shd w:val="clear" w:fill="FFFFFF"/>
        </w:rPr>
        <w:t> </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 w:name="monospace">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604754"/>
    <w:rsid w:val="016047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800080"/>
      <w:u w:val="none"/>
    </w:rPr>
  </w:style>
  <w:style w:type="character" w:styleId="7">
    <w:name w:val="Emphasis"/>
    <w:basedOn w:val="4"/>
    <w:qFormat/>
    <w:uiPriority w:val="0"/>
  </w:style>
  <w:style w:type="character" w:styleId="8">
    <w:name w:val="HTML Definition"/>
    <w:basedOn w:val="4"/>
    <w:uiPriority w:val="0"/>
  </w:style>
  <w:style w:type="character" w:styleId="9">
    <w:name w:val="HTML Typewriter"/>
    <w:basedOn w:val="4"/>
    <w:uiPriority w:val="0"/>
    <w:rPr>
      <w:rFonts w:hint="default" w:ascii="monospace" w:hAnsi="monospace" w:eastAsia="monospace" w:cs="monospace"/>
      <w:sz w:val="20"/>
    </w:rPr>
  </w:style>
  <w:style w:type="character" w:styleId="10">
    <w:name w:val="HTML Acronym"/>
    <w:basedOn w:val="4"/>
    <w:uiPriority w:val="0"/>
    <w:rPr>
      <w:bdr w:val="none" w:color="auto" w:sz="0" w:space="0"/>
    </w:rPr>
  </w:style>
  <w:style w:type="character" w:styleId="11">
    <w:name w:val="HTML Variable"/>
    <w:basedOn w:val="4"/>
    <w:uiPriority w:val="0"/>
  </w:style>
  <w:style w:type="character" w:styleId="12">
    <w:name w:val="Hyperlink"/>
    <w:basedOn w:val="4"/>
    <w:uiPriority w:val="0"/>
    <w:rPr>
      <w:color w:val="0000FF"/>
      <w:u w:val="none"/>
    </w:rPr>
  </w:style>
  <w:style w:type="character" w:styleId="13">
    <w:name w:val="HTML Code"/>
    <w:basedOn w:val="4"/>
    <w:uiPriority w:val="0"/>
    <w:rPr>
      <w:rFonts w:hint="default" w:ascii="monospace" w:hAnsi="monospace" w:eastAsia="monospace" w:cs="monospace"/>
      <w:sz w:val="20"/>
      <w:bdr w:val="none" w:color="auto" w:sz="0" w:space="0"/>
    </w:rPr>
  </w:style>
  <w:style w:type="character" w:styleId="14">
    <w:name w:val="HTML Cite"/>
    <w:basedOn w:val="4"/>
    <w:uiPriority w:val="0"/>
  </w:style>
  <w:style w:type="character" w:styleId="15">
    <w:name w:val="HTML Keyboard"/>
    <w:basedOn w:val="4"/>
    <w:uiPriority w:val="0"/>
    <w:rPr>
      <w:rFonts w:ascii="monospace" w:hAnsi="monospace" w:eastAsia="monospace" w:cs="monospace"/>
      <w:sz w:val="20"/>
    </w:rPr>
  </w:style>
  <w:style w:type="character" w:styleId="16">
    <w:name w:val="HTML Sample"/>
    <w:basedOn w:val="4"/>
    <w:uiPriority w:val="0"/>
    <w:rPr>
      <w:rFonts w:hint="default" w:ascii="monospace" w:hAnsi="monospace" w:eastAsia="monospace" w:cs="monospace"/>
    </w:rPr>
  </w:style>
  <w:style w:type="character" w:customStyle="1" w:styleId="17">
    <w:name w:val="canclick"/>
    <w:basedOn w:val="4"/>
    <w:uiPriority w:val="0"/>
    <w:rPr>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2020-07-14T06:17:00Z</dcterms:created>
  <dc:creator>予你</dc:creator>
  <cp:lastModifiedBy>予你</cp:lastModifiedBy>
  <dcterms:modified xsi:type="dcterms:W3CDTF">2020-07-14T06:18:28Z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