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auto"/>
        <w:rPr>
          <w:rFonts w:ascii="方正小标宋简体" w:hAnsi="方正小标宋简体" w:eastAsia="方正小标宋简体" w:cs="Times New Roman"/>
          <w:kern w:val="2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  <w:t>厦门海洋职业技术学院引进人才待遇一览表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2" w:firstLineChars="200"/>
        <w:textAlignment w:val="auto"/>
        <w:rPr>
          <w:rStyle w:val="4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Style w:val="4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1、</w:t>
      </w:r>
      <w:r>
        <w:rPr>
          <w:rStyle w:val="4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  <w:t>学院待遇</w:t>
      </w:r>
    </w:p>
    <w:tbl>
      <w:tblPr>
        <w:tblStyle w:val="5"/>
        <w:tblW w:w="80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1"/>
        <w:gridCol w:w="1766"/>
        <w:gridCol w:w="1354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科研启动费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2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过渡房或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租金补贴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领军人才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教授（具有博士学位）、教授级高级工程师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20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16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12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3000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教授（具有硕士学位）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16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12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8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32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3000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副高级职称（具有博士学位）、博士后、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14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10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6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2000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博士研究生、副高级职称（具有硕士学位）、高级工程师（学士学位）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12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8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5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16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1200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产业人才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创新创业团队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面议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2" w:firstLineChars="200"/>
        <w:textAlignment w:val="auto"/>
        <w:rPr>
          <w:rStyle w:val="4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Style w:val="4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2、</w:t>
      </w:r>
      <w:r>
        <w:rPr>
          <w:rStyle w:val="4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  <w:t>省、市待遇</w:t>
      </w:r>
    </w:p>
    <w:tbl>
      <w:tblPr>
        <w:tblStyle w:val="5"/>
        <w:tblW w:w="8085" w:type="dxa"/>
        <w:tblInd w:w="2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2"/>
        <w:gridCol w:w="1800"/>
        <w:gridCol w:w="1680"/>
        <w:gridCol w:w="14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人才项目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生活津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（补）贴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住房补贴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安家补助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福建省年度紧缺急需人才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2000-5000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14-18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万元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年发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福建省引进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A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B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C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类高层次人才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25-200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厦门市新引进人才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3-5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万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厦门市高层次及骨干人才</w:t>
            </w:r>
          </w:p>
        </w:tc>
        <w:tc>
          <w:tcPr>
            <w:tcW w:w="4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根据政策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申请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厦门市人才住房、厦门市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保障性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商品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61E77"/>
    <w:rsid w:val="6166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2020-07-27T09:09:00Z</dcterms:created>
  <dc:creator>肖苏华</dc:creator>
  <cp:lastModifiedBy>肖苏华</cp:lastModifiedBy>
  <dcterms:modified xsi:type="dcterms:W3CDTF">2020-07-27T09:10:48Z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