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rPr>
          <w:rFonts w:ascii="仿宋" w:hAnsi="仿宋" w:eastAsia="仿宋"/>
          <w:b/>
          <w:sz w:val="24"/>
        </w:rPr>
      </w:pPr>
      <w:r>
        <w:rPr>
          <w:rFonts w:hint="eastAsia" w:ascii="仿宋" w:hAnsi="仿宋" w:eastAsia="仿宋"/>
          <w:b/>
          <w:sz w:val="24"/>
        </w:rPr>
        <w:t>附件1</w:t>
      </w:r>
    </w:p>
    <w:p>
      <w:pPr>
        <w:adjustRightInd w:val="0"/>
        <w:snapToGrid w:val="0"/>
        <w:spacing w:line="400" w:lineRule="exact"/>
        <w:jc w:val="center"/>
        <w:rPr>
          <w:rFonts w:ascii="仿宋" w:hAnsi="仿宋" w:eastAsia="仿宋"/>
          <w:b/>
          <w:sz w:val="28"/>
          <w:szCs w:val="28"/>
        </w:rPr>
      </w:pPr>
      <w:bookmarkStart w:id="0" w:name="_GoBack"/>
      <w:r>
        <w:rPr>
          <w:rFonts w:hint="eastAsia" w:ascii="仿宋" w:hAnsi="仿宋" w:eastAsia="仿宋"/>
          <w:b/>
          <w:sz w:val="28"/>
          <w:szCs w:val="28"/>
        </w:rPr>
        <w:t>桐乡市卫生学校面向普通高校应届优秀毕业生招聘2021学年教师岗位计划表</w:t>
      </w:r>
    </w:p>
    <w:bookmarkEnd w:id="0"/>
    <w:tbl>
      <w:tblPr>
        <w:tblStyle w:val="4"/>
        <w:tblW w:w="1437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1418"/>
        <w:gridCol w:w="1417"/>
        <w:gridCol w:w="5245"/>
        <w:gridCol w:w="1559"/>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trPr>
        <w:tc>
          <w:tcPr>
            <w:tcW w:w="2977" w:type="dxa"/>
            <w:shd w:val="clear" w:color="auto" w:fill="auto"/>
            <w:noWrap/>
            <w:vAlign w:val="center"/>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单位名称</w:t>
            </w:r>
          </w:p>
        </w:tc>
        <w:tc>
          <w:tcPr>
            <w:tcW w:w="1418" w:type="dxa"/>
            <w:shd w:val="clear" w:color="auto" w:fill="auto"/>
            <w:noWrap/>
            <w:vAlign w:val="center"/>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招聘岗位</w:t>
            </w:r>
          </w:p>
        </w:tc>
        <w:tc>
          <w:tcPr>
            <w:tcW w:w="1417" w:type="dxa"/>
            <w:shd w:val="clear" w:color="auto" w:fill="auto"/>
            <w:noWrap/>
            <w:vAlign w:val="center"/>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招聘人数</w:t>
            </w:r>
          </w:p>
        </w:tc>
        <w:tc>
          <w:tcPr>
            <w:tcW w:w="5245" w:type="dxa"/>
            <w:shd w:val="clear" w:color="auto" w:fill="auto"/>
            <w:noWrap/>
            <w:vAlign w:val="center"/>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所需专业</w:t>
            </w:r>
          </w:p>
        </w:tc>
        <w:tc>
          <w:tcPr>
            <w:tcW w:w="1559" w:type="dxa"/>
            <w:shd w:val="clear" w:color="auto" w:fill="auto"/>
            <w:noWrap/>
            <w:vAlign w:val="center"/>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学历/学位</w:t>
            </w:r>
          </w:p>
        </w:tc>
        <w:tc>
          <w:tcPr>
            <w:tcW w:w="1759" w:type="dxa"/>
          </w:tcPr>
          <w:p>
            <w:pPr>
              <w:widowControl/>
              <w:jc w:val="center"/>
              <w:rPr>
                <w:rFonts w:ascii="宋体" w:hAnsi="宋体" w:cs="宋体"/>
                <w:b/>
                <w:color w:val="000000"/>
                <w:kern w:val="0"/>
                <w:sz w:val="20"/>
                <w:szCs w:val="20"/>
              </w:rPr>
            </w:pPr>
            <w:r>
              <w:rPr>
                <w:rFonts w:hint="eastAsia" w:ascii="宋体" w:hAnsi="宋体" w:cs="宋体"/>
                <w:b/>
                <w:color w:val="000000"/>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9" w:hRule="atLeast"/>
        </w:trPr>
        <w:tc>
          <w:tcPr>
            <w:tcW w:w="2977" w:type="dxa"/>
            <w:vMerge w:val="restart"/>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浙江省桐乡市卫生</w:t>
            </w:r>
            <w:r>
              <w:rPr>
                <w:rFonts w:ascii="宋体" w:hAnsi="宋体" w:cs="宋体"/>
                <w:color w:val="000000"/>
                <w:kern w:val="0"/>
                <w:sz w:val="20"/>
                <w:szCs w:val="20"/>
              </w:rPr>
              <w:t>学校</w:t>
            </w:r>
          </w:p>
        </w:tc>
        <w:tc>
          <w:tcPr>
            <w:tcW w:w="1418"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数学教师</w:t>
            </w:r>
          </w:p>
        </w:tc>
        <w:tc>
          <w:tcPr>
            <w:tcW w:w="1417"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5245" w:type="dxa"/>
            <w:shd w:val="clear" w:color="auto" w:fill="auto"/>
            <w:noWrap/>
            <w:vAlign w:val="center"/>
          </w:tcPr>
          <w:p>
            <w:pPr>
              <w:widowControl/>
              <w:spacing w:line="200" w:lineRule="exact"/>
              <w:jc w:val="left"/>
              <w:rPr>
                <w:rFonts w:ascii="宋体" w:hAnsi="宋体" w:cs="宋体"/>
                <w:color w:val="000000"/>
                <w:kern w:val="0"/>
                <w:sz w:val="20"/>
                <w:szCs w:val="20"/>
              </w:rPr>
            </w:pPr>
            <w:r>
              <w:rPr>
                <w:rFonts w:hint="eastAsia" w:ascii="宋体" w:hAnsi="宋体" w:cs="宋体"/>
                <w:color w:val="000000"/>
                <w:kern w:val="0"/>
                <w:sz w:val="20"/>
                <w:szCs w:val="20"/>
              </w:rPr>
              <w:t>数学类、学科教学（数学）专业</w:t>
            </w:r>
          </w:p>
        </w:tc>
        <w:tc>
          <w:tcPr>
            <w:tcW w:w="1559"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本科及以上</w:t>
            </w:r>
          </w:p>
        </w:tc>
        <w:tc>
          <w:tcPr>
            <w:tcW w:w="1759" w:type="dxa"/>
            <w:vMerge w:val="restart"/>
            <w:vAlign w:val="center"/>
          </w:tcPr>
          <w:p>
            <w:pPr>
              <w:widowControl/>
              <w:spacing w:after="240" w:line="200" w:lineRule="exact"/>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报名时间及地点：</w:t>
            </w:r>
          </w:p>
          <w:p>
            <w:pPr>
              <w:widowControl/>
              <w:spacing w:after="240" w:line="200" w:lineRule="exact"/>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2020年11月20日，浙江师范大学（金华）；</w:t>
            </w:r>
          </w:p>
          <w:p>
            <w:pPr>
              <w:widowControl/>
              <w:spacing w:after="240" w:line="200" w:lineRule="exact"/>
              <w:jc w:val="center"/>
              <w:rPr>
                <w:rFonts w:ascii="宋体" w:hAnsi="宋体" w:cs="宋体"/>
                <w:b/>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2020年11月28日，华东师范大学（上海）。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6" w:hRule="atLeast"/>
        </w:trPr>
        <w:tc>
          <w:tcPr>
            <w:tcW w:w="2977" w:type="dxa"/>
            <w:vMerge w:val="continue"/>
            <w:shd w:val="clear" w:color="auto" w:fill="auto"/>
            <w:noWrap/>
            <w:vAlign w:val="center"/>
          </w:tcPr>
          <w:p>
            <w:pPr>
              <w:widowControl/>
              <w:jc w:val="center"/>
              <w:rPr>
                <w:rFonts w:ascii="宋体" w:hAnsi="宋体" w:cs="宋体"/>
                <w:color w:val="000000"/>
                <w:kern w:val="0"/>
                <w:sz w:val="20"/>
                <w:szCs w:val="20"/>
              </w:rPr>
            </w:pPr>
          </w:p>
        </w:tc>
        <w:tc>
          <w:tcPr>
            <w:tcW w:w="1418"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语文教师</w:t>
            </w:r>
          </w:p>
        </w:tc>
        <w:tc>
          <w:tcPr>
            <w:tcW w:w="1417" w:type="dxa"/>
            <w:shd w:val="clear" w:color="auto" w:fill="auto"/>
            <w:noWrap/>
            <w:vAlign w:val="center"/>
          </w:tcPr>
          <w:p>
            <w:pPr>
              <w:widowControl/>
              <w:spacing w:line="200" w:lineRule="exact"/>
              <w:jc w:val="center"/>
              <w:rPr>
                <w:rFonts w:ascii="宋体" w:hAnsi="宋体" w:cs="宋体"/>
                <w:color w:val="000000"/>
                <w:kern w:val="0"/>
                <w:sz w:val="20"/>
                <w:szCs w:val="20"/>
              </w:rPr>
            </w:pPr>
            <w:r>
              <w:rPr>
                <w:rFonts w:ascii="宋体" w:hAnsi="宋体" w:cs="宋体"/>
                <w:color w:val="000000"/>
                <w:kern w:val="0"/>
                <w:sz w:val="20"/>
                <w:szCs w:val="20"/>
              </w:rPr>
              <w:t>1</w:t>
            </w:r>
          </w:p>
        </w:tc>
        <w:tc>
          <w:tcPr>
            <w:tcW w:w="5245" w:type="dxa"/>
            <w:shd w:val="clear" w:color="auto" w:fill="auto"/>
            <w:noWrap/>
            <w:vAlign w:val="center"/>
          </w:tcPr>
          <w:p>
            <w:pPr>
              <w:widowControl/>
              <w:spacing w:line="200" w:lineRule="exact"/>
              <w:jc w:val="left"/>
              <w:rPr>
                <w:rFonts w:ascii="宋体" w:hAnsi="宋体" w:cs="宋体"/>
                <w:color w:val="000000"/>
                <w:kern w:val="0"/>
                <w:sz w:val="20"/>
                <w:szCs w:val="20"/>
              </w:rPr>
            </w:pPr>
            <w:r>
              <w:rPr>
                <w:rFonts w:hint="eastAsia" w:ascii="宋体" w:hAnsi="宋体" w:cs="宋体"/>
                <w:color w:val="000000"/>
                <w:kern w:val="0"/>
                <w:sz w:val="20"/>
                <w:szCs w:val="20"/>
              </w:rPr>
              <w:t>中国语言文学类、学科教学（语文）专业</w:t>
            </w:r>
          </w:p>
        </w:tc>
        <w:tc>
          <w:tcPr>
            <w:tcW w:w="1559"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本科及以上</w:t>
            </w:r>
          </w:p>
        </w:tc>
        <w:tc>
          <w:tcPr>
            <w:tcW w:w="1759" w:type="dxa"/>
            <w:vMerge w:val="continue"/>
            <w:vAlign w:val="center"/>
          </w:tcPr>
          <w:p>
            <w:pPr>
              <w:widowControl/>
              <w:spacing w:line="200" w:lineRule="exact"/>
              <w:jc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trPr>
        <w:tc>
          <w:tcPr>
            <w:tcW w:w="2977" w:type="dxa"/>
            <w:vAlign w:val="center"/>
          </w:tcPr>
          <w:p>
            <w:pPr>
              <w:widowControl/>
              <w:jc w:val="left"/>
              <w:rPr>
                <w:rFonts w:ascii="宋体" w:hAnsi="宋体" w:cs="宋体"/>
                <w:color w:val="000000"/>
                <w:kern w:val="0"/>
                <w:sz w:val="20"/>
                <w:szCs w:val="20"/>
              </w:rPr>
            </w:pPr>
          </w:p>
        </w:tc>
        <w:tc>
          <w:tcPr>
            <w:tcW w:w="1418" w:type="dxa"/>
            <w:shd w:val="clear" w:color="auto" w:fill="auto"/>
            <w:noWrap/>
            <w:vAlign w:val="center"/>
          </w:tcPr>
          <w:p>
            <w:pPr>
              <w:widowControl/>
              <w:spacing w:line="200" w:lineRule="exact"/>
              <w:jc w:val="center"/>
              <w:rPr>
                <w:rFonts w:ascii="宋体" w:hAnsi="宋体" w:cs="宋体"/>
                <w:color w:val="000000"/>
                <w:kern w:val="0"/>
                <w:sz w:val="20"/>
                <w:szCs w:val="20"/>
              </w:rPr>
            </w:pPr>
            <w:r>
              <w:rPr>
                <w:rFonts w:hint="eastAsia" w:ascii="宋体" w:hAnsi="宋体" w:cs="宋体"/>
                <w:color w:val="000000"/>
                <w:kern w:val="0"/>
                <w:sz w:val="20"/>
                <w:szCs w:val="20"/>
              </w:rPr>
              <w:t>合计</w:t>
            </w:r>
          </w:p>
        </w:tc>
        <w:tc>
          <w:tcPr>
            <w:tcW w:w="1417" w:type="dxa"/>
            <w:shd w:val="clear" w:color="auto" w:fill="auto"/>
            <w:noWrap/>
            <w:vAlign w:val="center"/>
          </w:tcPr>
          <w:p>
            <w:pPr>
              <w:widowControl/>
              <w:spacing w:line="200" w:lineRule="exact"/>
              <w:jc w:val="center"/>
              <w:rPr>
                <w:rFonts w:ascii="宋体" w:hAnsi="宋体" w:cs="宋体"/>
                <w:color w:val="000000"/>
                <w:kern w:val="0"/>
                <w:sz w:val="20"/>
                <w:szCs w:val="20"/>
              </w:rPr>
            </w:pPr>
            <w:r>
              <w:rPr>
                <w:rFonts w:ascii="宋体" w:hAnsi="宋体" w:cs="宋体"/>
                <w:color w:val="000000"/>
                <w:kern w:val="0"/>
                <w:sz w:val="20"/>
                <w:szCs w:val="20"/>
              </w:rPr>
              <w:t>2</w:t>
            </w:r>
          </w:p>
        </w:tc>
        <w:tc>
          <w:tcPr>
            <w:tcW w:w="5245" w:type="dxa"/>
            <w:shd w:val="clear" w:color="auto" w:fill="auto"/>
            <w:vAlign w:val="center"/>
          </w:tcPr>
          <w:p>
            <w:pPr>
              <w:widowControl/>
              <w:spacing w:line="200" w:lineRule="exact"/>
              <w:jc w:val="left"/>
              <w:rPr>
                <w:rFonts w:ascii="宋体" w:hAnsi="宋体" w:cs="宋体"/>
                <w:color w:val="000000"/>
                <w:kern w:val="0"/>
                <w:sz w:val="20"/>
                <w:szCs w:val="20"/>
              </w:rPr>
            </w:pPr>
          </w:p>
        </w:tc>
        <w:tc>
          <w:tcPr>
            <w:tcW w:w="1559" w:type="dxa"/>
            <w:shd w:val="clear" w:color="auto" w:fill="auto"/>
            <w:noWrap/>
            <w:vAlign w:val="center"/>
          </w:tcPr>
          <w:p>
            <w:pPr>
              <w:widowControl/>
              <w:spacing w:line="200" w:lineRule="exact"/>
              <w:jc w:val="center"/>
              <w:rPr>
                <w:rFonts w:ascii="宋体" w:hAnsi="宋体" w:cs="宋体"/>
                <w:color w:val="000000"/>
                <w:kern w:val="0"/>
                <w:sz w:val="20"/>
                <w:szCs w:val="20"/>
              </w:rPr>
            </w:pPr>
          </w:p>
        </w:tc>
        <w:tc>
          <w:tcPr>
            <w:tcW w:w="1759" w:type="dxa"/>
          </w:tcPr>
          <w:p>
            <w:pPr>
              <w:widowControl/>
              <w:spacing w:line="200" w:lineRule="exact"/>
              <w:jc w:val="left"/>
              <w:rPr>
                <w:rFonts w:ascii="宋体" w:hAnsi="宋体" w:cs="宋体"/>
                <w:color w:val="000000"/>
                <w:kern w:val="0"/>
                <w:sz w:val="20"/>
                <w:szCs w:val="20"/>
              </w:rPr>
            </w:pPr>
          </w:p>
        </w:tc>
      </w:tr>
    </w:tbl>
    <w:p>
      <w:pPr>
        <w:adjustRightInd w:val="0"/>
        <w:snapToGrid w:val="0"/>
        <w:spacing w:line="500" w:lineRule="exact"/>
        <w:jc w:val="left"/>
        <w:rPr>
          <w:rFonts w:ascii="仿宋" w:hAnsi="仿宋" w:eastAsia="仿宋"/>
          <w:b/>
          <w:color w:val="FF0000"/>
          <w:w w:val="75"/>
          <w:sz w:val="24"/>
        </w:rPr>
        <w:sectPr>
          <w:footerReference r:id="rId3" w:type="default"/>
          <w:pgSz w:w="16838" w:h="11906" w:orient="landscape"/>
          <w:pgMar w:top="284" w:right="1440" w:bottom="284" w:left="1440" w:header="851" w:footer="992" w:gutter="0"/>
          <w:cols w:space="425" w:num="1"/>
          <w:docGrid w:type="lines" w:linePitch="312" w:charSpace="0"/>
        </w:sectPr>
      </w:pPr>
      <w:r>
        <w:rPr>
          <w:rFonts w:hint="eastAsia" w:ascii="宋体" w:hAnsi="宋体" w:cs="宋体"/>
          <w:b/>
          <w:color w:val="000000"/>
          <w:w w:val="75"/>
          <w:kern w:val="0"/>
          <w:sz w:val="22"/>
          <w:szCs w:val="22"/>
        </w:rPr>
        <w:t>附注：本批次招聘岗位计划按浙江师范大学专场和华东师范大学顺序先后推出，华东师范大学专场招聘结束后，仍未招满的岗位计划将在第二批招聘继续推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7</w:t>
    </w:r>
    <w:r>
      <w:rPr>
        <w:lang w:val="zh-CN"/>
      </w:rPr>
      <w:fldChar w:fldCharType="end"/>
    </w:r>
  </w:p>
  <w:p>
    <w:pPr>
      <w:pStyle w:val="2"/>
      <w:tabs>
        <w:tab w:val="left" w:pos="6240"/>
        <w:tab w:val="clear" w:pos="4153"/>
        <w:tab w:val="clear" w:pos="8306"/>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B04F1B"/>
    <w:rsid w:val="6EB04F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2020-11-16T05:54:00Z</dcterms:created>
  <dc:creator>管利燕</dc:creator>
  <cp:lastModifiedBy>管利燕</cp:lastModifiedBy>
  <dcterms:modified xsi:type="dcterms:W3CDTF">2020-11-16T05:54:40Z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