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9000" w:type="dxa"/>
        <w:tblInd w:w="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22"/>
        <w:gridCol w:w="1045"/>
        <w:gridCol w:w="1230"/>
        <w:gridCol w:w="526"/>
        <w:gridCol w:w="526"/>
        <w:gridCol w:w="322"/>
        <w:gridCol w:w="1056"/>
        <w:gridCol w:w="848"/>
        <w:gridCol w:w="674"/>
        <w:gridCol w:w="956"/>
        <w:gridCol w:w="851"/>
        <w:gridCol w:w="322"/>
        <w:gridCol w:w="322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bookmarkStart w:id="0" w:name="_GoBack"/>
            <w:bookmarkEnd w:id="0"/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36"/>
                <w:szCs w:val="36"/>
                <w:bdr w:val="none" w:color="auto" w:sz="0" w:space="0"/>
              </w:rPr>
              <w:t>2020年东坡区考核招聘教育类高层次人才第四批拟聘用人员名单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序号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招聘单位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主管部门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岗位名称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招聘名额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姓名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岗位代码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学历（学位）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毕业院校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所学专业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考核总成绩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排名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四川省眉山第一中学校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眉山市东坡区教育和体育局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化学教师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冷雪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202002205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硕士研究生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四川师范大学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学科教学（化学）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93.614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9A40D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2021-03-03T06:47:15Z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