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吴起县职业教育中心“县管校聘”教师招聘岗位需求计划表</w:t>
      </w:r>
    </w:p>
    <w:tbl>
      <w:tblPr>
        <w:tblW w:w="831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2"/>
        <w:gridCol w:w="742"/>
        <w:gridCol w:w="694"/>
        <w:gridCol w:w="1948"/>
        <w:gridCol w:w="2414"/>
        <w:gridCol w:w="22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1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旅游服务与管理</w:t>
            </w:r>
          </w:p>
        </w:tc>
        <w:tc>
          <w:tcPr>
            <w:tcW w:w="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94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全日制基础教育类、职业教育类一批本科及以上毕业生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本科：旅游管理、旅游管理与服务教育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所学专业与引进专业相符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计算机应用</w:t>
            </w:r>
          </w:p>
        </w:tc>
        <w:tc>
          <w:tcPr>
            <w:tcW w:w="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94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本科：计算机应用技术、网络工程、软件工程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计算机应用技术、软件工程、计算机科学与技术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相应的专业等级证或技能等级证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94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本科：财务管理、财务会计教育、会计学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财务管理、会计学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所学专业与引进专业相符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94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本科：钢琴、舞蹈学、音乐学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音乐学、舞蹈学、音乐与舞蹈学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高中音乐教师资格证及相应的专业资格证或技能等级证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5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2021-03-30T01:54:15Z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6CBB7706AAE944FA8129AE2463044FD2</vt:lpwstr>
  </property>
</Properties>
</file>