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50" w:firstLineChars="100"/>
        <w:rPr>
          <w:rFonts w:ascii="微软雅黑" w:hAnsi="微软雅黑" w:eastAsia="微软雅黑" w:cs="微软雅黑"/>
          <w:color w:val="000000" w:themeColor="text1"/>
          <w:sz w:val="45"/>
          <w:szCs w:val="45"/>
          <w:shd w:val="clear" w:color="auto" w:fill="FFFFFF"/>
        </w:rPr>
      </w:pPr>
      <w:r>
        <w:rPr>
          <w:rFonts w:hint="eastAsia" w:ascii="微软雅黑" w:hAnsi="微软雅黑" w:eastAsia="微软雅黑" w:cs="微软雅黑"/>
          <w:color w:val="000000" w:themeColor="text1"/>
          <w:sz w:val="45"/>
          <w:szCs w:val="45"/>
          <w:shd w:val="clear" w:color="auto" w:fill="FFFFFF"/>
        </w:rPr>
        <w:t>江苏省阜宁</w:t>
      </w:r>
      <w:r>
        <w:rPr>
          <w:rFonts w:ascii="微软雅黑" w:hAnsi="微软雅黑" w:eastAsia="微软雅黑" w:cs="微软雅黑"/>
          <w:color w:val="000000" w:themeColor="text1"/>
          <w:sz w:val="45"/>
          <w:szCs w:val="45"/>
          <w:shd w:val="clear" w:color="auto" w:fill="FFFFFF"/>
        </w:rPr>
        <w:t>县2021年校园招聘教师</w:t>
      </w:r>
    </w:p>
    <w:p>
      <w:pPr>
        <w:ind w:firstLine="3600" w:firstLineChars="800"/>
        <w:rPr>
          <w:rFonts w:ascii="微软雅黑" w:hAnsi="微软雅黑" w:eastAsia="微软雅黑" w:cs="微软雅黑"/>
          <w:color w:val="000000" w:themeColor="text1"/>
          <w:sz w:val="45"/>
          <w:szCs w:val="45"/>
          <w:shd w:val="clear" w:color="auto" w:fill="FFFFFF"/>
        </w:rPr>
      </w:pPr>
      <w:r>
        <w:rPr>
          <w:rFonts w:hint="eastAsia" w:ascii="微软雅黑" w:hAnsi="微软雅黑" w:eastAsia="微软雅黑" w:cs="微软雅黑"/>
          <w:color w:val="000000" w:themeColor="text1"/>
          <w:sz w:val="45"/>
          <w:szCs w:val="45"/>
          <w:shd w:val="clear" w:color="auto" w:fill="FFFFFF"/>
        </w:rPr>
        <w:t>方案</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为加大优秀人才招聘力度,提高教师队伍素质,根据事业单位招聘人员相关规定和省市人才招引有关精神,结合阜宁教育实际,现就赴</w:t>
      </w:r>
      <w:bookmarkStart w:id="0" w:name="_GoBack"/>
      <w:bookmarkEnd w:id="0"/>
      <w:r>
        <w:rPr>
          <w:rFonts w:hint="eastAsia" w:ascii="宋体" w:hAnsi="宋体" w:eastAsia="宋体" w:cs="宋体"/>
          <w:color w:val="333333"/>
          <w:sz w:val="28"/>
          <w:szCs w:val="28"/>
          <w:shd w:val="clear" w:color="auto" w:fill="FFFFFF"/>
        </w:rPr>
        <w:t>高校公开招聘教师方案如下。</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一、招聘范围对象及计划</w:t>
      </w:r>
    </w:p>
    <w:p>
      <w:pPr>
        <w:pStyle w:val="5"/>
        <w:widowControl/>
        <w:shd w:val="clear" w:color="auto" w:fill="FFFFFF"/>
        <w:spacing w:beforeAutospacing="0" w:afterAutospacing="0" w:line="420" w:lineRule="atLeast"/>
        <w:ind w:firstLine="560" w:firstLineChars="200"/>
        <w:jc w:val="both"/>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招聘的范围对象:具有高校研究生学历、取得硕士及以上学位的应往届毕业生和高校本科毕业的</w:t>
      </w:r>
      <w:r>
        <w:rPr>
          <w:rFonts w:hint="eastAsia" w:ascii="宋体" w:hAnsi="宋体" w:eastAsia="宋体" w:cs="宋体"/>
          <w:color w:val="000000" w:themeColor="text1"/>
          <w:sz w:val="28"/>
          <w:szCs w:val="28"/>
          <w:shd w:val="clear" w:color="auto" w:fill="FFFFFF"/>
          <w14:textFill>
            <w14:solidFill>
              <w14:schemeClr w14:val="tx1"/>
            </w14:solidFill>
          </w14:textFill>
        </w:rPr>
        <w:t>2021年毕业生。</w:t>
      </w:r>
    </w:p>
    <w:p>
      <w:pPr>
        <w:pStyle w:val="5"/>
        <w:widowControl/>
        <w:shd w:val="clear" w:color="auto" w:fill="FFFFFF"/>
        <w:spacing w:beforeAutospacing="0" w:afterAutospacing="0" w:line="420" w:lineRule="atLeast"/>
        <w:ind w:firstLine="560" w:firstLineChars="200"/>
        <w:rPr>
          <w:rFonts w:ascii="宋体" w:hAnsi="宋体" w:eastAsia="宋体" w:cs="宋体"/>
          <w:color w:val="000000" w:themeColor="text1"/>
          <w:sz w:val="28"/>
          <w:szCs w:val="28"/>
        </w:rPr>
      </w:pPr>
      <w:r>
        <w:rPr>
          <w:rFonts w:hint="eastAsia" w:ascii="宋体" w:hAnsi="宋体" w:eastAsia="宋体" w:cs="宋体"/>
          <w:color w:val="333333"/>
          <w:sz w:val="28"/>
          <w:szCs w:val="28"/>
          <w:shd w:val="clear" w:color="auto" w:fill="FFFFFF"/>
        </w:rPr>
        <w:t>2021年阜宁县教育系统计划招聘165名,具体岗位计划及条件见《阜宁县2021年校园招聘教师</w:t>
      </w:r>
      <w:r>
        <w:rPr>
          <w:rFonts w:hint="eastAsia" w:ascii="宋体" w:hAnsi="宋体" w:eastAsia="宋体" w:cs="宋体"/>
          <w:color w:val="000000" w:themeColor="text1"/>
          <w:sz w:val="28"/>
          <w:szCs w:val="28"/>
          <w:shd w:val="clear" w:color="auto" w:fill="FFFFFF"/>
        </w:rPr>
        <w:t>岗位计划表》(附件1、附件2)。</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二、招聘资格和条件</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1.具有中华人民共和国国籍,享有公民的政治权利。</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2.热爱教育事业,具有良好的职业道德;遵纪守法,品行端正。</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3.本科生年龄不超过30周岁(1990年4月 6日以后出生)，研究生年龄不超过35周岁(1985年4月6 日以后出生)。</w:t>
      </w:r>
    </w:p>
    <w:p>
      <w:pPr>
        <w:pStyle w:val="5"/>
        <w:widowControl/>
        <w:spacing w:beforeAutospacing="0" w:afterAutospacing="0" w:line="288"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4.应聘人员本科或研究生阶段所学专业须符合招聘岗位的专业要求（专业目录按教育部《普通高等学校本科专业目录（2020年版）》和《授予博士、硕士学位和培养研究生的学科、专业目录（1997年颁布）》等执行）。并具有相应教师资格证书,或持有已参加教师资格认定的证明。</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5.志愿在阜宁县学校从事教育教学工作不少于3年。</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6.身心健康,能适应相应教师岗位工作要求。</w:t>
      </w:r>
    </w:p>
    <w:p>
      <w:pPr>
        <w:rPr>
          <w:rFonts w:ascii="宋体" w:hAnsi="宋体" w:eastAsia="宋体" w:cs="宋体"/>
          <w:color w:val="333333"/>
          <w:kern w:val="0"/>
          <w:sz w:val="28"/>
          <w:szCs w:val="28"/>
          <w:shd w:val="clear" w:color="auto" w:fill="FFFFFF"/>
        </w:rPr>
      </w:pPr>
      <w:r>
        <w:rPr>
          <w:rFonts w:hint="eastAsia" w:ascii="宋体" w:hAnsi="宋体" w:eastAsia="宋体" w:cs="宋体"/>
          <w:color w:val="333333"/>
          <w:sz w:val="28"/>
          <w:szCs w:val="28"/>
          <w:shd w:val="clear" w:color="auto" w:fill="FFFFFF"/>
        </w:rPr>
        <w:t xml:space="preserve">    7.</w:t>
      </w:r>
      <w:r>
        <w:rPr>
          <w:rFonts w:hint="eastAsia"/>
        </w:rPr>
        <w:t xml:space="preserve"> </w:t>
      </w:r>
      <w:r>
        <w:rPr>
          <w:rFonts w:hint="eastAsia" w:ascii="宋体" w:hAnsi="宋体" w:eastAsia="宋体" w:cs="宋体"/>
          <w:color w:val="333333"/>
          <w:kern w:val="0"/>
          <w:sz w:val="28"/>
          <w:szCs w:val="28"/>
          <w:shd w:val="clear" w:color="auto" w:fill="FFFFFF"/>
        </w:rPr>
        <w:t>资格条件中的“2021年毕业生”，指在2021年毕业并已取得学历（学位）证书，且仍无工作单位的人员。其中，能够提供《毕业生就业推荐表》（原件）的普通高校毕业生，取得学历（学位）证书的日期可放宽至2021年8月31日；国（境）外同期毕业人员，须在2021年8月31日前完成教育部留学服务中心学历认证。</w:t>
      </w:r>
    </w:p>
    <w:p>
      <w:pPr>
        <w:rPr>
          <w:rFonts w:ascii="宋体" w:hAnsi="宋体" w:eastAsia="宋体" w:cs="宋体"/>
          <w:color w:val="333333"/>
          <w:kern w:val="0"/>
          <w:sz w:val="28"/>
          <w:szCs w:val="28"/>
          <w:shd w:val="clear" w:color="auto" w:fill="FFFFFF"/>
        </w:rPr>
      </w:pPr>
      <w:r>
        <w:rPr>
          <w:rFonts w:hint="eastAsia" w:ascii="宋体" w:hAnsi="宋体" w:eastAsia="宋体" w:cs="宋体"/>
          <w:color w:val="333333"/>
          <w:kern w:val="0"/>
          <w:sz w:val="28"/>
          <w:szCs w:val="28"/>
          <w:shd w:val="clear" w:color="auto" w:fill="FFFFFF"/>
        </w:rPr>
        <w:t xml:space="preserve">    2019年和2020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2021年毕业生岗位。</w:t>
      </w:r>
    </w:p>
    <w:p>
      <w:pPr>
        <w:rPr>
          <w:rFonts w:ascii="宋体" w:hAnsi="宋体" w:eastAsia="宋体" w:cs="宋体"/>
          <w:color w:val="333333"/>
          <w:kern w:val="0"/>
          <w:sz w:val="28"/>
          <w:szCs w:val="28"/>
          <w:shd w:val="clear" w:color="auto" w:fill="FFFFFF"/>
        </w:rPr>
      </w:pPr>
      <w:r>
        <w:rPr>
          <w:rFonts w:hint="eastAsia" w:ascii="宋体" w:hAnsi="宋体" w:eastAsia="宋体" w:cs="宋体"/>
          <w:color w:val="333333"/>
          <w:kern w:val="0"/>
          <w:sz w:val="28"/>
          <w:szCs w:val="28"/>
          <w:shd w:val="clear" w:color="auto" w:fill="FFFFFF"/>
        </w:rPr>
        <w:t xml:space="preserve">    参加基层服务项目的人员，如参加服务项目前无工作经历，服务期满且考核合格后2年内的，可应聘面向2021年毕业生岗位。</w:t>
      </w:r>
    </w:p>
    <w:p>
      <w:pPr>
        <w:rPr>
          <w:rFonts w:ascii="宋体" w:hAnsi="宋体" w:eastAsia="宋体" w:cs="宋体"/>
          <w:color w:val="333333"/>
          <w:kern w:val="0"/>
          <w:sz w:val="28"/>
          <w:szCs w:val="28"/>
          <w:shd w:val="clear" w:color="auto" w:fill="FFFFFF"/>
        </w:rPr>
      </w:pPr>
      <w:r>
        <w:rPr>
          <w:rFonts w:hint="eastAsia" w:ascii="宋体" w:hAnsi="宋体" w:eastAsia="宋体" w:cs="宋体"/>
          <w:color w:val="333333"/>
          <w:kern w:val="0"/>
          <w:sz w:val="28"/>
          <w:szCs w:val="28"/>
          <w:shd w:val="clear" w:color="auto" w:fill="FFFFFF"/>
        </w:rPr>
        <w:t xml:space="preserve">    以普通高校应届毕业生应征入伍服义务兵的人员，退役后1年内的，可应聘面向2021年毕业生岗位。</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三、招聘程序</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(一)发布信息</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在“中国阜宁”(</w:t>
      </w:r>
      <w:r>
        <w:rPr>
          <w:rFonts w:hint="eastAsia" w:ascii="仿宋_GB2312" w:hAnsi="Times New Roman" w:eastAsia="仿宋_GB2312"/>
          <w:sz w:val="28"/>
          <w:szCs w:val="28"/>
        </w:rPr>
        <w:t>www.funing.gov.cn</w:t>
      </w:r>
      <w:r>
        <w:rPr>
          <w:rFonts w:hint="eastAsia" w:ascii="宋体" w:hAnsi="宋体" w:eastAsia="宋体" w:cs="宋体"/>
          <w:color w:val="333333"/>
          <w:sz w:val="28"/>
          <w:szCs w:val="28"/>
          <w:shd w:val="clear" w:color="auto" w:fill="FFFFFF"/>
        </w:rPr>
        <w:t>)、“阜宁教育”微信公众号和相关高校发布招聘信息。</w:t>
      </w:r>
    </w:p>
    <w:p>
      <w:pPr>
        <w:pStyle w:val="5"/>
        <w:widowControl/>
        <w:numPr>
          <w:ilvl w:val="0"/>
          <w:numId w:val="1"/>
        </w:numPr>
        <w:shd w:val="clear" w:color="auto" w:fill="FFFFFF"/>
        <w:spacing w:beforeAutospacing="0" w:afterAutospacing="0" w:line="420" w:lineRule="atLeast"/>
        <w:ind w:firstLine="560" w:firstLineChars="20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组织报名</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本次招聘在扬州大学、安徽师范大学、山东师范大学、曲阜师范大学、河北师范大学、山西师范大学等高校设报名点,进行现场报名。所有报考人员应遵守当地的防疫规定，进出校园积极配合测温，主动出示健康码，自备一次性医用口罩或无呼吸阀的N95口罩，全程佩戴，做好个人防护。</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考生现场报名时须提交下列材料:</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(1)报名表1份(见附件3);</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(2)居民身份证原件及复印件;</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(3)教师资格证书原件及复印件,尚未取得教师资格证书者须提供认定机构或所在高校出具的已参加相应教师资格认定的合格证明。</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(4)2019届和2020届毕业生提供毕业证书、学位证书原件和复印件,以及《毕业生就业协议书》原件；2021届毕业生提供《毕业生双向选择就业推荐表》和《毕业生就业协议书》原件。</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上述报名表、相关证明及证书复印材料一律用A4纸。</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(三)资格审查</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1.阜宁县教育局负责资格审核工作。研究生岗位设1:2开考比例,本科生岗位设1:3开考比例,招聘计划数与报名人数达不到上述比例要求的,相应核减招聘数直至取消该岗位招聘计划。被取消岗位的报考人员,可在规定时间内改报其他符合条件的岗位。</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2.有下列情形之一的,不得应聘:</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①现役军人、普通高校在读非应届毕业生;</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②在国家规定服务期内的公务员,或有规定(含协议明确)不得解聘离开工作单位(岗位)的人员,或国家和省另有规定不得应聘到事业单位的人员。</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四、考试</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考试包括笔试和面试。研究生直接参加面试。本科生参加笔试和面试,</w:t>
      </w:r>
      <w:r>
        <w:rPr>
          <w:rFonts w:hint="eastAsia" w:ascii="仿宋" w:hAnsi="仿宋" w:eastAsia="仿宋" w:cs="仿宋"/>
          <w:sz w:val="28"/>
          <w:szCs w:val="28"/>
        </w:rPr>
        <w:t xml:space="preserve"> 总</w:t>
      </w:r>
      <w:r>
        <w:rPr>
          <w:rFonts w:hint="eastAsia" w:ascii="宋体" w:hAnsi="宋体" w:eastAsia="宋体" w:cs="宋体"/>
          <w:color w:val="333333"/>
          <w:sz w:val="28"/>
          <w:szCs w:val="28"/>
          <w:shd w:val="clear" w:color="auto" w:fill="FFFFFF"/>
        </w:rPr>
        <w:t>成绩计算方法：总成绩＝笔试成绩×60% + 面试成绩×40%，笔试结束后根据笔试成绩从高分到低分按岗位招聘人数1:2比例确定面试人选,面试人数不足的,按实际人数入围。</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笔试采取闭卷答题方式。笔试内容为报考学科专业知识，总分为100分,60分为合格线。面试形式为答辩,主要考察应聘者的教育教学水平、心理素质、语言表达、组织协调能力、仪表举止、爱好特长等综合素质。面试总分为100分,60分为合格线。</w:t>
      </w:r>
    </w:p>
    <w:p>
      <w:pPr>
        <w:pStyle w:val="5"/>
        <w:widowControl/>
        <w:shd w:val="clear" w:color="auto" w:fill="FFFFFF"/>
        <w:spacing w:beforeAutospacing="0" w:afterAutospacing="0" w:line="420" w:lineRule="atLeast"/>
        <w:rPr>
          <w:rFonts w:ascii="Times New Roman" w:hAnsi="Times New Roman" w:eastAsia="仿宋_GB2312" w:cs="Calibri"/>
          <w:color w:val="000000"/>
          <w:sz w:val="32"/>
          <w:szCs w:val="32"/>
        </w:rPr>
      </w:pPr>
      <w:r>
        <w:rPr>
          <w:rFonts w:hint="eastAsia" w:ascii="Times New Roman" w:hAnsi="Times New Roman" w:eastAsia="仿宋_GB2312" w:cs="Calibri"/>
          <w:color w:val="000000"/>
          <w:sz w:val="32"/>
          <w:szCs w:val="32"/>
        </w:rPr>
        <w:t xml:space="preserve">    报名及面试安排如下：</w:t>
      </w:r>
    </w:p>
    <w:p>
      <w:pPr>
        <w:rPr>
          <w:rFonts w:ascii="宋体" w:hAnsi="宋体" w:eastAsia="宋体" w:cs="宋体"/>
          <w:color w:val="333333"/>
          <w:sz w:val="28"/>
          <w:szCs w:val="28"/>
          <w:shd w:val="clear" w:color="auto" w:fill="FFFFFF"/>
        </w:rPr>
      </w:pPr>
      <w:r>
        <w:rPr>
          <w:rFonts w:hint="eastAsia"/>
        </w:rPr>
        <w:t xml:space="preserve">      </w:t>
      </w:r>
      <w:r>
        <w:rPr>
          <w:rFonts w:hint="eastAsia" w:ascii="宋体" w:hAnsi="宋体" w:eastAsia="宋体" w:cs="宋体"/>
          <w:color w:val="333333"/>
          <w:kern w:val="0"/>
          <w:sz w:val="28"/>
          <w:szCs w:val="28"/>
          <w:shd w:val="clear" w:color="auto" w:fill="FFFFFF"/>
        </w:rPr>
        <w:t>如对初审意见有异议，请及时向负责资格审核的招聘主管部门或招聘单位陈述申辩，联系方式可从下表中“联系人”栏内获取。</w:t>
      </w:r>
    </w:p>
    <w:tbl>
      <w:tblPr>
        <w:tblStyle w:val="6"/>
        <w:tblW w:w="9489" w:type="dxa"/>
        <w:tblInd w:w="0" w:type="dxa"/>
        <w:tblLayout w:type="autofit"/>
        <w:tblCellMar>
          <w:top w:w="0" w:type="dxa"/>
          <w:left w:w="108" w:type="dxa"/>
          <w:bottom w:w="0" w:type="dxa"/>
          <w:right w:w="108" w:type="dxa"/>
        </w:tblCellMar>
      </w:tblPr>
      <w:tblGrid>
        <w:gridCol w:w="3085"/>
        <w:gridCol w:w="3451"/>
        <w:gridCol w:w="1085"/>
        <w:gridCol w:w="1868"/>
      </w:tblGrid>
      <w:tr>
        <w:tblPrEx>
          <w:tblCellMar>
            <w:top w:w="0" w:type="dxa"/>
            <w:left w:w="108" w:type="dxa"/>
            <w:bottom w:w="0" w:type="dxa"/>
            <w:right w:w="108" w:type="dxa"/>
          </w:tblCellMar>
        </w:tblPrEx>
        <w:trPr>
          <w:trHeight w:val="750" w:hRule="atLeast"/>
        </w:trPr>
        <w:tc>
          <w:tcPr>
            <w:tcW w:w="308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报名地点</w:t>
            </w:r>
          </w:p>
        </w:tc>
        <w:tc>
          <w:tcPr>
            <w:tcW w:w="34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报名时间</w:t>
            </w:r>
          </w:p>
        </w:tc>
        <w:tc>
          <w:tcPr>
            <w:tcW w:w="108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笔试面试时间、地点</w:t>
            </w:r>
          </w:p>
        </w:tc>
        <w:tc>
          <w:tcPr>
            <w:tcW w:w="18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联系人</w:t>
            </w:r>
          </w:p>
        </w:tc>
      </w:tr>
      <w:tr>
        <w:tblPrEx>
          <w:tblCellMar>
            <w:top w:w="0" w:type="dxa"/>
            <w:left w:w="108" w:type="dxa"/>
            <w:bottom w:w="0" w:type="dxa"/>
            <w:right w:w="108" w:type="dxa"/>
          </w:tblCellMar>
        </w:tblPrEx>
        <w:trPr>
          <w:trHeight w:val="630"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333333"/>
                <w:kern w:val="0"/>
                <w:sz w:val="24"/>
              </w:rPr>
            </w:pPr>
            <w:r>
              <w:rPr>
                <w:rFonts w:hint="eastAsia" w:ascii="宋体" w:hAnsi="宋体" w:eastAsia="宋体" w:cs="宋体"/>
                <w:color w:val="333333"/>
                <w:kern w:val="0"/>
                <w:sz w:val="24"/>
              </w:rPr>
              <w:t>扬州大学（瘦西湖校区室内体育馆一楼）</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10</w:t>
            </w:r>
            <w:r>
              <w:rPr>
                <w:rFonts w:hint="eastAsia" w:ascii="仿宋_GB2312" w:hAnsi="Times New Roman" w:eastAsia="仿宋_GB2312" w:cs="Times New Roman"/>
                <w:color w:val="000000"/>
                <w:kern w:val="0"/>
                <w:sz w:val="24"/>
              </w:rPr>
              <w:t>日下午</w:t>
            </w:r>
            <w:r>
              <w:rPr>
                <w:rFonts w:hint="eastAsia" w:ascii="Times New Roman" w:hAnsi="Times New Roman" w:eastAsia="宋体" w:cs="Times New Roman"/>
                <w:color w:val="000000"/>
                <w:kern w:val="0"/>
                <w:sz w:val="24"/>
              </w:rPr>
              <w:t>2</w:t>
            </w:r>
            <w:r>
              <w:rPr>
                <w:rFonts w:ascii="Times New Roman" w:hAnsi="Times New Roman" w:eastAsia="宋体" w:cs="Times New Roman"/>
                <w:color w:val="000000"/>
                <w:kern w:val="0"/>
                <w:sz w:val="24"/>
              </w:rPr>
              <w:t>:</w:t>
            </w:r>
            <w:r>
              <w:rPr>
                <w:rFonts w:hint="eastAsia" w:ascii="Times New Roman" w:hAnsi="Times New Roman" w:eastAsia="宋体" w:cs="Times New Roman"/>
                <w:color w:val="000000"/>
                <w:kern w:val="0"/>
                <w:sz w:val="24"/>
              </w:rPr>
              <w:t>0</w:t>
            </w:r>
            <w:r>
              <w:rPr>
                <w:rFonts w:ascii="Times New Roman" w:hAnsi="Times New Roman" w:eastAsia="宋体" w:cs="Times New Roman"/>
                <w:color w:val="000000"/>
                <w:kern w:val="0"/>
                <w:sz w:val="24"/>
              </w:rPr>
              <w:t>0-</w:t>
            </w:r>
            <w:r>
              <w:rPr>
                <w:rFonts w:hint="eastAsia" w:ascii="Times New Roman" w:hAnsi="Times New Roman" w:eastAsia="宋体" w:cs="Times New Roman"/>
                <w:color w:val="000000"/>
                <w:kern w:val="0"/>
                <w:sz w:val="24"/>
              </w:rPr>
              <w:t>6</w:t>
            </w:r>
            <w:r>
              <w:rPr>
                <w:rFonts w:ascii="Times New Roman" w:hAnsi="Times New Roman" w:eastAsia="宋体" w:cs="Times New Roman"/>
                <w:color w:val="000000"/>
                <w:kern w:val="0"/>
                <w:sz w:val="24"/>
              </w:rPr>
              <w:t>:00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宋体" w:hAnsi="宋体" w:eastAsia="宋体" w:cs="宋体"/>
                <w:color w:val="000000"/>
                <w:kern w:val="0"/>
                <w:sz w:val="24"/>
              </w:rPr>
              <w:t>韩</w:t>
            </w:r>
            <w:r>
              <w:rPr>
                <w:rFonts w:hint="eastAsia" w:ascii="仿宋_GB2312" w:hAnsi="宋体" w:eastAsia="仿宋_GB2312" w:cs="宋体"/>
                <w:color w:val="000000"/>
                <w:kern w:val="0"/>
                <w:sz w:val="24"/>
              </w:rPr>
              <w:t>老</w:t>
            </w:r>
            <w:r>
              <w:rPr>
                <w:rFonts w:hint="eastAsia" w:ascii="宋体" w:hAnsi="宋体" w:eastAsia="宋体" w:cs="宋体"/>
                <w:color w:val="000000"/>
                <w:kern w:val="0"/>
                <w:sz w:val="24"/>
              </w:rPr>
              <w:t>师15298551878</w:t>
            </w:r>
          </w:p>
        </w:tc>
      </w:tr>
      <w:tr>
        <w:tblPrEx>
          <w:tblCellMar>
            <w:top w:w="0" w:type="dxa"/>
            <w:left w:w="108" w:type="dxa"/>
            <w:bottom w:w="0" w:type="dxa"/>
            <w:right w:w="108" w:type="dxa"/>
          </w:tblCellMar>
        </w:tblPrEx>
        <w:trPr>
          <w:trHeight w:val="837"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安徽师范大学（</w:t>
            </w:r>
            <w:r>
              <w:rPr>
                <w:rFonts w:hint="eastAsia" w:ascii="Arial" w:hAnsi="Arial" w:eastAsia="宋体" w:cs="Arial"/>
                <w:color w:val="444444"/>
                <w:kern w:val="0"/>
                <w:szCs w:val="21"/>
              </w:rPr>
              <w:t>花津校区大学生活动中心三楼就业报告厅</w:t>
            </w:r>
            <w:r>
              <w:rPr>
                <w:rFonts w:ascii="Arial" w:hAnsi="Arial" w:eastAsia="宋体" w:cs="Arial"/>
                <w:color w:val="444444"/>
                <w:kern w:val="0"/>
                <w:szCs w:val="21"/>
              </w:rPr>
              <w:t>）</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12</w:t>
            </w:r>
            <w:r>
              <w:rPr>
                <w:rFonts w:hint="eastAsia" w:ascii="仿宋_GB2312" w:hAnsi="Times New Roman" w:eastAsia="仿宋_GB2312" w:cs="Times New Roman"/>
                <w:color w:val="000000"/>
                <w:kern w:val="0"/>
                <w:sz w:val="24"/>
              </w:rPr>
              <w:t>日上午</w:t>
            </w:r>
            <w:r>
              <w:rPr>
                <w:rFonts w:ascii="Times New Roman" w:hAnsi="Times New Roman" w:eastAsia="宋体" w:cs="Times New Roman"/>
                <w:color w:val="000000"/>
                <w:kern w:val="0"/>
                <w:sz w:val="24"/>
              </w:rPr>
              <w:t>8:30-11:00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rPr>
            </w:pPr>
          </w:p>
        </w:tc>
      </w:tr>
      <w:tr>
        <w:tblPrEx>
          <w:tblCellMar>
            <w:top w:w="0" w:type="dxa"/>
            <w:left w:w="108" w:type="dxa"/>
            <w:bottom w:w="0" w:type="dxa"/>
            <w:right w:w="108" w:type="dxa"/>
          </w:tblCellMar>
        </w:tblPrEx>
        <w:trPr>
          <w:trHeight w:val="849"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山东师范大学（千佛山校区  教学三楼3255）</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14</w:t>
            </w:r>
            <w:r>
              <w:rPr>
                <w:rFonts w:hint="eastAsia" w:ascii="仿宋_GB2312" w:hAnsi="Times New Roman" w:eastAsia="仿宋_GB2312" w:cs="Times New Roman"/>
                <w:color w:val="000000"/>
                <w:kern w:val="0"/>
                <w:sz w:val="24"/>
              </w:rPr>
              <w:t>日上午</w:t>
            </w:r>
            <w:r>
              <w:rPr>
                <w:rFonts w:ascii="Times New Roman" w:hAnsi="Times New Roman" w:eastAsia="宋体" w:cs="Times New Roman"/>
                <w:color w:val="000000"/>
                <w:kern w:val="0"/>
                <w:sz w:val="24"/>
              </w:rPr>
              <w:t>8:30-11:00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rPr>
            </w:pPr>
          </w:p>
        </w:tc>
      </w:tr>
      <w:tr>
        <w:tblPrEx>
          <w:tblCellMar>
            <w:top w:w="0" w:type="dxa"/>
            <w:left w:w="108" w:type="dxa"/>
            <w:bottom w:w="0" w:type="dxa"/>
            <w:right w:w="108" w:type="dxa"/>
          </w:tblCellMar>
        </w:tblPrEx>
        <w:trPr>
          <w:trHeight w:val="847"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曲阜师范大学（大学生活动中心101教室）</w:t>
            </w:r>
            <w:r>
              <w:rPr>
                <w:rFonts w:ascii="Times New Roman" w:hAnsi="Times New Roman" w:eastAsia="宋体" w:cs="Times New Roman"/>
                <w:color w:val="000000"/>
                <w:kern w:val="0"/>
                <w:sz w:val="24"/>
              </w:rPr>
              <w:t xml:space="preserve"> </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15</w:t>
            </w:r>
            <w:r>
              <w:rPr>
                <w:rFonts w:hint="eastAsia" w:ascii="仿宋_GB2312" w:hAnsi="Times New Roman" w:eastAsia="仿宋_GB2312" w:cs="Times New Roman"/>
                <w:color w:val="000000"/>
                <w:kern w:val="0"/>
                <w:sz w:val="24"/>
              </w:rPr>
              <w:t>日上午</w:t>
            </w:r>
            <w:r>
              <w:rPr>
                <w:rFonts w:ascii="Times New Roman" w:hAnsi="Times New Roman" w:eastAsia="宋体" w:cs="Times New Roman"/>
                <w:color w:val="000000"/>
                <w:kern w:val="0"/>
                <w:sz w:val="24"/>
              </w:rPr>
              <w:t>8:30-11:00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rPr>
            </w:pPr>
          </w:p>
        </w:tc>
      </w:tr>
      <w:tr>
        <w:tblPrEx>
          <w:tblCellMar>
            <w:top w:w="0" w:type="dxa"/>
            <w:left w:w="108" w:type="dxa"/>
            <w:bottom w:w="0" w:type="dxa"/>
            <w:right w:w="108" w:type="dxa"/>
          </w:tblCellMar>
        </w:tblPrEx>
        <w:trPr>
          <w:trHeight w:val="959"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河北师范大学</w:t>
            </w:r>
            <w:r>
              <w:rPr>
                <w:rFonts w:ascii="Times New Roman" w:hAnsi="Times New Roman" w:eastAsia="宋体" w:cs="Times New Roman"/>
                <w:color w:val="000000"/>
                <w:kern w:val="0"/>
                <w:sz w:val="24"/>
              </w:rPr>
              <w:t xml:space="preserve"> （公教楼</w:t>
            </w:r>
            <w:r>
              <w:rPr>
                <w:rFonts w:hint="eastAsia" w:ascii="Times New Roman" w:hAnsi="Times New Roman" w:eastAsia="宋体" w:cs="Times New Roman"/>
                <w:color w:val="000000"/>
                <w:kern w:val="0"/>
                <w:sz w:val="24"/>
              </w:rPr>
              <w:t>C座108室）</w:t>
            </w:r>
            <w:r>
              <w:rPr>
                <w:rFonts w:ascii="Times New Roman" w:hAnsi="Times New Roman" w:eastAsia="宋体" w:cs="Times New Roman"/>
                <w:color w:val="000000"/>
                <w:kern w:val="0"/>
                <w:sz w:val="24"/>
              </w:rPr>
              <w:t xml:space="preserve"> </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 xml:space="preserve"> 17</w:t>
            </w:r>
            <w:r>
              <w:rPr>
                <w:rFonts w:hint="eastAsia" w:ascii="仿宋_GB2312" w:hAnsi="Times New Roman" w:eastAsia="仿宋_GB2312" w:cs="Times New Roman"/>
                <w:color w:val="000000"/>
                <w:kern w:val="0"/>
                <w:sz w:val="24"/>
              </w:rPr>
              <w:t>日上午</w:t>
            </w:r>
            <w:r>
              <w:rPr>
                <w:rFonts w:ascii="Times New Roman" w:hAnsi="Times New Roman" w:eastAsia="宋体" w:cs="Times New Roman"/>
                <w:color w:val="000000"/>
                <w:kern w:val="0"/>
                <w:sz w:val="24"/>
              </w:rPr>
              <w:t>8:30-11:00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rPr>
            </w:pPr>
          </w:p>
        </w:tc>
      </w:tr>
      <w:tr>
        <w:tblPrEx>
          <w:tblCellMar>
            <w:top w:w="0" w:type="dxa"/>
            <w:left w:w="108" w:type="dxa"/>
            <w:bottom w:w="0" w:type="dxa"/>
            <w:right w:w="108" w:type="dxa"/>
          </w:tblCellMar>
        </w:tblPrEx>
        <w:trPr>
          <w:trHeight w:val="973" w:hRule="atLeast"/>
        </w:trPr>
        <w:tc>
          <w:tcPr>
            <w:tcW w:w="30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 xml:space="preserve"> </w:t>
            </w:r>
            <w:r>
              <w:rPr>
                <w:rFonts w:hint="eastAsia" w:ascii="宋体" w:hAnsi="宋体" w:eastAsia="宋体" w:cs="Times New Roman"/>
                <w:color w:val="000000"/>
                <w:kern w:val="0"/>
                <w:sz w:val="24"/>
              </w:rPr>
              <w:t>山西师范大学（</w:t>
            </w:r>
            <w:r>
              <w:rPr>
                <w:rFonts w:hint="eastAsia" w:ascii="宋体" w:hAnsi="宋体" w:cs="Arial"/>
                <w:color w:val="000000"/>
                <w:kern w:val="0"/>
                <w:sz w:val="28"/>
                <w:szCs w:val="28"/>
              </w:rPr>
              <w:t>田家炳楼07126）</w:t>
            </w:r>
          </w:p>
        </w:tc>
        <w:tc>
          <w:tcPr>
            <w:tcW w:w="3451"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4</w:t>
            </w:r>
            <w:r>
              <w:rPr>
                <w:rFonts w:hint="eastAsia" w:ascii="仿宋_GB2312" w:hAnsi="Times New Roman" w:eastAsia="仿宋_GB2312" w:cs="Times New Roman"/>
                <w:color w:val="000000"/>
                <w:kern w:val="0"/>
                <w:sz w:val="24"/>
              </w:rPr>
              <w:t>月</w:t>
            </w:r>
            <w:r>
              <w:rPr>
                <w:rFonts w:ascii="Times New Roman" w:hAnsi="Times New Roman" w:eastAsia="宋体" w:cs="Times New Roman"/>
                <w:color w:val="000000"/>
                <w:kern w:val="0"/>
                <w:sz w:val="24"/>
              </w:rPr>
              <w:t xml:space="preserve">19 </w:t>
            </w:r>
            <w:r>
              <w:rPr>
                <w:rFonts w:hint="eastAsia" w:ascii="仿宋_GB2312" w:hAnsi="Times New Roman" w:eastAsia="仿宋_GB2312" w:cs="Times New Roman"/>
                <w:color w:val="000000"/>
                <w:kern w:val="0"/>
                <w:sz w:val="24"/>
              </w:rPr>
              <w:t>日上午</w:t>
            </w:r>
            <w:r>
              <w:rPr>
                <w:rFonts w:ascii="Times New Roman" w:hAnsi="Times New Roman" w:eastAsia="宋体" w:cs="Times New Roman"/>
                <w:color w:val="000000"/>
                <w:kern w:val="0"/>
                <w:sz w:val="24"/>
              </w:rPr>
              <w:t>8:30-11:00</w:t>
            </w:r>
          </w:p>
        </w:tc>
        <w:tc>
          <w:tcPr>
            <w:tcW w:w="10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待定</w:t>
            </w:r>
          </w:p>
        </w:tc>
        <w:tc>
          <w:tcPr>
            <w:tcW w:w="186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rPr>
            </w:pPr>
          </w:p>
        </w:tc>
      </w:tr>
    </w:tbl>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shd w:val="clear" w:color="auto" w:fill="FFFFFF"/>
        </w:rPr>
      </w:pPr>
      <w:r>
        <w:rPr>
          <w:rFonts w:ascii="宋体" w:hAnsi="宋体" w:eastAsia="宋体" w:cs="宋体"/>
          <w:color w:val="333333"/>
          <w:sz w:val="28"/>
          <w:szCs w:val="28"/>
          <w:shd w:val="clear" w:color="auto" w:fill="FFFFFF"/>
        </w:rPr>
        <w:t>五、</w:t>
      </w:r>
      <w:r>
        <w:rPr>
          <w:rFonts w:hint="eastAsia" w:ascii="宋体" w:hAnsi="宋体" w:eastAsia="宋体" w:cs="宋体"/>
          <w:color w:val="333333"/>
          <w:sz w:val="28"/>
          <w:szCs w:val="28"/>
          <w:shd w:val="clear" w:color="auto" w:fill="FFFFFF"/>
        </w:rPr>
        <w:t>聘用</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(一)选岗和签约。研究生岗位按照面试成绩,从高分到低分依次选岗,签订《就业协议书》和《毕业生就业补充协议书》。选岗结束后所有岗位不再递补。</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本科生岗位根据笔试和面试总成绩从高分到低分依次选岗(末位同分的,按面试成绩从高到低确定；仍相同的，加试确定),并签订《就业协议书》和《毕业生就业补充协议书》。</w:t>
      </w:r>
    </w:p>
    <w:p>
      <w:pPr>
        <w:pStyle w:val="5"/>
        <w:widowControl/>
        <w:numPr>
          <w:ilvl w:val="0"/>
          <w:numId w:val="2"/>
        </w:numPr>
        <w:shd w:val="clear" w:color="auto" w:fill="FFFFFF"/>
        <w:spacing w:beforeAutospacing="0" w:afterAutospacing="0" w:line="420" w:lineRule="atLeast"/>
        <w:ind w:firstLine="560" w:firstLineChars="20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体检和考察。所有签约人员均须参加体检和考察。体检、考察分别参照《国家公务员录用体检通用标准(试行)》、江苏省考录公务员考察要求执行,具体时间、地点和要求另行通知。体检和考察不合格者招聘资格自然取消,签订协议失效。</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(三)公示。在“中国阜宁”(</w:t>
      </w:r>
      <w:r>
        <w:rPr>
          <w:rFonts w:hint="eastAsia" w:ascii="仿宋_GB2312" w:hAnsi="Times New Roman" w:eastAsia="仿宋_GB2312"/>
          <w:sz w:val="28"/>
          <w:szCs w:val="28"/>
        </w:rPr>
        <w:t>www.funing.gov.cn</w:t>
      </w:r>
      <w:r>
        <w:rPr>
          <w:rFonts w:hint="eastAsia" w:ascii="宋体" w:hAnsi="宋体" w:eastAsia="宋体" w:cs="宋体"/>
          <w:color w:val="333333"/>
          <w:sz w:val="28"/>
          <w:szCs w:val="28"/>
          <w:shd w:val="clear" w:color="auto" w:fill="FFFFFF"/>
        </w:rPr>
        <w:t>)、“阜宁教育”微信公众号)对体检和考察合格人员进行公示。</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(四)聘用。公示无异议人员,按照人事管理相关规定办理聘用手续。聘用人员的个人档案须在2021年8月31日前寄送至阜宁县教育局组织人事科204室（地址：江苏省阜宁县阜城街道上海路166号，邮编224400）。</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被聘用人员均列入阜宁县中小学事业编制,经费来源为财政全额拨款。试用期满考核或岗前培训不合格者,取消聘用资格。被聘用人员须在阜宁县从事教育教学工作满三年,服务期内不办理调动手续,签订协议后放弃聘用或在服务期内申请办理辞职者,承担相应的违约责任。</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五、回避与监督</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按照《江苏省事业单位公开招聘人员办法》(苏办发﹝2020﹞9号)第七章第36条规定实行回避。</w:t>
      </w:r>
    </w:p>
    <w:p>
      <w:pPr>
        <w:pStyle w:val="5"/>
        <w:widowControl/>
        <w:shd w:val="clear" w:color="auto" w:fill="FFFFFF"/>
        <w:spacing w:beforeAutospacing="0" w:afterAutospacing="0" w:line="420" w:lineRule="atLeast"/>
        <w:ind w:firstLine="560" w:firstLineChars="20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阜宁县纪委监委第十一派驻纪检监察组负责对本次招聘教师工作进行监督。监督电话分别为：0515-87731809。</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六、招聘工作咨询</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未尽事宜,由阜宁县教育局负责解释。</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招聘教师工作咨询电话:阜宁县教育局0515-87737202、0515-87737203，阜宁县人社局0515-87386412。</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rPr>
      </w:pP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rPr>
      </w:pPr>
      <w:r>
        <w:rPr>
          <w:rFonts w:hint="eastAsia" w:ascii="宋体" w:hAnsi="宋体" w:eastAsia="宋体" w:cs="宋体"/>
          <w:color w:val="auto"/>
          <w:sz w:val="28"/>
          <w:szCs w:val="28"/>
          <w:u w:val="none"/>
          <w:shd w:val="clear" w:color="auto"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cstate="print"/>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color w:val="auto"/>
          <w:sz w:val="28"/>
          <w:szCs w:val="28"/>
          <w:u w:val="none"/>
          <w:shd w:val="clear" w:color="auto" w:fill="FFFFFF"/>
        </w:rPr>
        <w:t>附件1：阜宁县2021年校园招聘教师岗位计划表（研究生）.xls</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rPr>
      </w:pPr>
      <w:r>
        <w:rPr>
          <w:rFonts w:hint="eastAsia" w:ascii="宋体" w:hAnsi="宋体" w:eastAsia="宋体" w:cs="宋体"/>
          <w:color w:val="auto"/>
          <w:sz w:val="28"/>
          <w:szCs w:val="28"/>
          <w:u w:val="none"/>
          <w:shd w:val="clear" w:color="auto" w:fill="FFFFFF"/>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cstate="print"/>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color w:val="auto"/>
          <w:sz w:val="28"/>
          <w:szCs w:val="28"/>
          <w:u w:val="none"/>
          <w:shd w:val="clear" w:color="auto" w:fill="FFFFFF"/>
        </w:rPr>
        <w:t>附件2：阜宁县2021年校园招聘教师岗位计划表（本科生）.xls</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shd w:val="clear" w:color="auto" w:fill="FFFFFF"/>
        </w:rPr>
      </w:pPr>
      <w:r>
        <w:rPr>
          <w:rFonts w:hint="eastAsia" w:ascii="宋体" w:hAnsi="宋体" w:eastAsia="宋体" w:cs="宋体"/>
          <w:color w:val="auto"/>
          <w:sz w:val="28"/>
          <w:szCs w:val="28"/>
          <w:u w:val="none"/>
          <w:shd w:val="clear" w:color="auto" w:fill="FFFFFF"/>
        </w:rPr>
        <w:drawing>
          <wp:inline distT="0" distB="0" distL="114300" distR="114300">
            <wp:extent cx="152400" cy="1524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5" cstate="print"/>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color w:val="auto"/>
          <w:sz w:val="28"/>
          <w:szCs w:val="28"/>
          <w:u w:val="none"/>
          <w:shd w:val="clear" w:color="auto" w:fill="FFFFFF"/>
        </w:rPr>
        <w:t>附件3：阜宁县2021年校园招聘教师报名表.doc</w:t>
      </w:r>
    </w:p>
    <w:p>
      <w:pPr>
        <w:pStyle w:val="5"/>
        <w:widowControl/>
        <w:shd w:val="clear" w:color="auto" w:fill="FFFFFF"/>
        <w:spacing w:beforeAutospacing="0" w:afterAutospacing="0" w:line="420" w:lineRule="atLeast"/>
        <w:ind w:firstLine="420"/>
        <w:rPr>
          <w:rFonts w:ascii="宋体" w:hAnsi="宋体" w:eastAsia="宋体" w:cs="宋体"/>
          <w:color w:val="333333"/>
          <w:sz w:val="28"/>
          <w:szCs w:val="28"/>
          <w:shd w:val="clear" w:color="auto" w:fill="FFFFFF"/>
        </w:rPr>
      </w:pPr>
    </w:p>
    <w:p>
      <w:pPr>
        <w:pStyle w:val="5"/>
        <w:widowControl/>
        <w:shd w:val="clear" w:color="auto" w:fill="FFFFFF"/>
        <w:spacing w:beforeAutospacing="0" w:afterAutospacing="0" w:line="420" w:lineRule="atLeast"/>
        <w:ind w:firstLine="420"/>
        <w:jc w:val="center"/>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 xml:space="preserve">                               阜   宁   县   教   育  局</w:t>
      </w:r>
    </w:p>
    <w:p>
      <w:pPr>
        <w:pStyle w:val="5"/>
        <w:widowControl/>
        <w:shd w:val="clear" w:color="auto" w:fill="FFFFFF"/>
        <w:spacing w:beforeAutospacing="0" w:afterAutospacing="0" w:line="420" w:lineRule="atLeast"/>
        <w:ind w:firstLine="420"/>
        <w:jc w:val="center"/>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 xml:space="preserve">                               阜宁县人力资源和社会保障局                      </w:t>
      </w:r>
    </w:p>
    <w:p>
      <w:pPr>
        <w:pStyle w:val="5"/>
        <w:widowControl/>
        <w:shd w:val="clear" w:color="auto" w:fill="FFFFFF"/>
        <w:spacing w:beforeAutospacing="0" w:afterAutospacing="0" w:line="420" w:lineRule="atLeast"/>
        <w:ind w:firstLine="420"/>
        <w:jc w:val="center"/>
        <w:rPr>
          <w:rFonts w:ascii="宋体" w:hAnsi="宋体" w:eastAsia="宋体" w:cs="宋体"/>
          <w:color w:val="333333"/>
          <w:sz w:val="28"/>
          <w:szCs w:val="28"/>
        </w:rPr>
      </w:pPr>
      <w:r>
        <w:rPr>
          <w:rFonts w:hint="eastAsia" w:ascii="宋体" w:hAnsi="宋体" w:eastAsia="宋体" w:cs="宋体"/>
          <w:color w:val="333333"/>
          <w:sz w:val="28"/>
          <w:szCs w:val="28"/>
          <w:shd w:val="clear" w:color="auto" w:fill="FFFFFF"/>
        </w:rPr>
        <w:t xml:space="preserve">                              2021年4月6日</w:t>
      </w:r>
    </w:p>
    <w:p>
      <w:pPr>
        <w:rPr>
          <w:rFonts w:ascii="宋体" w:hAnsi="宋体" w:eastAsia="宋体" w:cs="宋体"/>
          <w:color w:val="355E92"/>
          <w:sz w:val="28"/>
          <w:szCs w:val="28"/>
          <w:shd w:val="clear" w:color="auto" w:fill="FFFFFF"/>
        </w:rPr>
      </w:pPr>
    </w:p>
    <w:sectPr>
      <w:pgSz w:w="11906" w:h="16838"/>
      <w:pgMar w:top="1417" w:right="1701" w:bottom="1417"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957CB7"/>
    <w:multiLevelType w:val="singleLevel"/>
    <w:tmpl w:val="FA957CB7"/>
    <w:lvl w:ilvl="0" w:tentative="0">
      <w:start w:val="2"/>
      <w:numFmt w:val="chineseCounting"/>
      <w:lvlText w:val="(%1)"/>
      <w:lvlJc w:val="left"/>
      <w:pPr>
        <w:tabs>
          <w:tab w:val="left" w:pos="312"/>
        </w:tabs>
      </w:pPr>
      <w:rPr>
        <w:rFonts w:hint="eastAsia"/>
      </w:rPr>
    </w:lvl>
  </w:abstractNum>
  <w:abstractNum w:abstractNumId="1">
    <w:nsid w:val="2FDB861B"/>
    <w:multiLevelType w:val="singleLevel"/>
    <w:tmpl w:val="2FDB861B"/>
    <w:lvl w:ilvl="0" w:tentative="0">
      <w:start w:val="2"/>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8464B"/>
    <w:rsid w:val="0002510E"/>
    <w:rsid w:val="000270EE"/>
    <w:rsid w:val="00056BF9"/>
    <w:rsid w:val="000723AE"/>
    <w:rsid w:val="000C5D59"/>
    <w:rsid w:val="000D2AC4"/>
    <w:rsid w:val="000E3A0D"/>
    <w:rsid w:val="000F343F"/>
    <w:rsid w:val="00134AC8"/>
    <w:rsid w:val="00164518"/>
    <w:rsid w:val="00193C34"/>
    <w:rsid w:val="001D58A7"/>
    <w:rsid w:val="002208DF"/>
    <w:rsid w:val="00230D38"/>
    <w:rsid w:val="00266896"/>
    <w:rsid w:val="002E37B3"/>
    <w:rsid w:val="00371557"/>
    <w:rsid w:val="003A52D0"/>
    <w:rsid w:val="003B72F7"/>
    <w:rsid w:val="00403243"/>
    <w:rsid w:val="00403EE2"/>
    <w:rsid w:val="00453169"/>
    <w:rsid w:val="004A0A6B"/>
    <w:rsid w:val="004B5EA0"/>
    <w:rsid w:val="00527C54"/>
    <w:rsid w:val="00535B2C"/>
    <w:rsid w:val="00555F64"/>
    <w:rsid w:val="00564FEC"/>
    <w:rsid w:val="005A7C83"/>
    <w:rsid w:val="005E0C2B"/>
    <w:rsid w:val="005F0105"/>
    <w:rsid w:val="005F6177"/>
    <w:rsid w:val="00624165"/>
    <w:rsid w:val="00664A32"/>
    <w:rsid w:val="0068464B"/>
    <w:rsid w:val="006B0B94"/>
    <w:rsid w:val="006B2879"/>
    <w:rsid w:val="006D43D0"/>
    <w:rsid w:val="006D70ED"/>
    <w:rsid w:val="006F45DA"/>
    <w:rsid w:val="00712174"/>
    <w:rsid w:val="0075509C"/>
    <w:rsid w:val="00762877"/>
    <w:rsid w:val="00814DE3"/>
    <w:rsid w:val="00852AAD"/>
    <w:rsid w:val="008808A7"/>
    <w:rsid w:val="008944E0"/>
    <w:rsid w:val="008A6A81"/>
    <w:rsid w:val="00906274"/>
    <w:rsid w:val="00933141"/>
    <w:rsid w:val="009413C3"/>
    <w:rsid w:val="00982B72"/>
    <w:rsid w:val="009B5AD4"/>
    <w:rsid w:val="009F6EEE"/>
    <w:rsid w:val="00A31F5F"/>
    <w:rsid w:val="00A462D6"/>
    <w:rsid w:val="00A653CE"/>
    <w:rsid w:val="00A90626"/>
    <w:rsid w:val="00AA39B9"/>
    <w:rsid w:val="00AB3EB9"/>
    <w:rsid w:val="00B950EF"/>
    <w:rsid w:val="00BA3904"/>
    <w:rsid w:val="00BF5FCB"/>
    <w:rsid w:val="00C45DCE"/>
    <w:rsid w:val="00C476A9"/>
    <w:rsid w:val="00C93027"/>
    <w:rsid w:val="00CD104C"/>
    <w:rsid w:val="00CE6704"/>
    <w:rsid w:val="00CE7E60"/>
    <w:rsid w:val="00D8285A"/>
    <w:rsid w:val="00D964D9"/>
    <w:rsid w:val="00DA7C83"/>
    <w:rsid w:val="00DC1D84"/>
    <w:rsid w:val="00E6551F"/>
    <w:rsid w:val="00EA1C52"/>
    <w:rsid w:val="00EE1A6F"/>
    <w:rsid w:val="00EE1CD0"/>
    <w:rsid w:val="00F13700"/>
    <w:rsid w:val="00F1418E"/>
    <w:rsid w:val="00F16C87"/>
    <w:rsid w:val="00F231EA"/>
    <w:rsid w:val="00F670DB"/>
    <w:rsid w:val="00F70FD0"/>
    <w:rsid w:val="00F93E89"/>
    <w:rsid w:val="00F969E7"/>
    <w:rsid w:val="00FF30DB"/>
    <w:rsid w:val="03CD5EA7"/>
    <w:rsid w:val="054318F2"/>
    <w:rsid w:val="05C75273"/>
    <w:rsid w:val="068E2477"/>
    <w:rsid w:val="07BA6932"/>
    <w:rsid w:val="0870035E"/>
    <w:rsid w:val="0AE177FC"/>
    <w:rsid w:val="0D38197D"/>
    <w:rsid w:val="0F053FC1"/>
    <w:rsid w:val="13646580"/>
    <w:rsid w:val="186E10D2"/>
    <w:rsid w:val="1B3B705B"/>
    <w:rsid w:val="1BD51DB3"/>
    <w:rsid w:val="1C4E5C74"/>
    <w:rsid w:val="1DB315BC"/>
    <w:rsid w:val="1E541141"/>
    <w:rsid w:val="1F681035"/>
    <w:rsid w:val="203A4B2E"/>
    <w:rsid w:val="20646E4A"/>
    <w:rsid w:val="24A76AE0"/>
    <w:rsid w:val="2A04314F"/>
    <w:rsid w:val="2BBC7B1B"/>
    <w:rsid w:val="2CAC0274"/>
    <w:rsid w:val="2FD37432"/>
    <w:rsid w:val="324D46EA"/>
    <w:rsid w:val="32D30C38"/>
    <w:rsid w:val="3578043F"/>
    <w:rsid w:val="37793932"/>
    <w:rsid w:val="391E5F37"/>
    <w:rsid w:val="3E7F083F"/>
    <w:rsid w:val="40E026F0"/>
    <w:rsid w:val="418367B1"/>
    <w:rsid w:val="41847394"/>
    <w:rsid w:val="47376AB5"/>
    <w:rsid w:val="482F681C"/>
    <w:rsid w:val="4D317528"/>
    <w:rsid w:val="4D5415FD"/>
    <w:rsid w:val="4D9A0118"/>
    <w:rsid w:val="527110B7"/>
    <w:rsid w:val="539941A4"/>
    <w:rsid w:val="55465815"/>
    <w:rsid w:val="57EB19C8"/>
    <w:rsid w:val="589F4510"/>
    <w:rsid w:val="5CB731BF"/>
    <w:rsid w:val="5E6550F1"/>
    <w:rsid w:val="5EBD26A3"/>
    <w:rsid w:val="60F319DE"/>
    <w:rsid w:val="74530ED6"/>
    <w:rsid w:val="758713C2"/>
    <w:rsid w:val="76602568"/>
    <w:rsid w:val="7C30214A"/>
    <w:rsid w:val="7E223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8"/>
    <w:uiPriority w:val="0"/>
    <w:rPr>
      <w:sz w:val="18"/>
      <w:szCs w:val="18"/>
    </w:rPr>
  </w:style>
  <w:style w:type="paragraph" w:styleId="3">
    <w:name w:val="footer"/>
    <w:basedOn w:val="1"/>
    <w:link w:val="17"/>
    <w:qFormat/>
    <w:uiPriority w:val="0"/>
    <w:pPr>
      <w:tabs>
        <w:tab w:val="center" w:pos="4153"/>
        <w:tab w:val="right" w:pos="8306"/>
      </w:tabs>
      <w:snapToGrid w:val="0"/>
      <w:jc w:val="left"/>
    </w:pPr>
    <w:rPr>
      <w:sz w:val="18"/>
      <w:szCs w:val="18"/>
    </w:rPr>
  </w:style>
  <w:style w:type="paragraph" w:styleId="4">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style>
  <w:style w:type="character" w:styleId="9">
    <w:name w:val="FollowedHyperlink"/>
    <w:basedOn w:val="7"/>
    <w:qFormat/>
    <w:uiPriority w:val="0"/>
    <w:rPr>
      <w:color w:val="555555"/>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Variable"/>
    <w:basedOn w:val="7"/>
    <w:qFormat/>
    <w:uiPriority w:val="0"/>
  </w:style>
  <w:style w:type="character" w:styleId="13">
    <w:name w:val="Hyperlink"/>
    <w:basedOn w:val="7"/>
    <w:qFormat/>
    <w:uiPriority w:val="0"/>
    <w:rPr>
      <w:color w:val="0000FF"/>
      <w:u w:val="single"/>
    </w:rPr>
  </w:style>
  <w:style w:type="character" w:styleId="14">
    <w:name w:val="HTML Code"/>
    <w:basedOn w:val="7"/>
    <w:qFormat/>
    <w:uiPriority w:val="0"/>
    <w:rPr>
      <w:rFonts w:ascii="Courier New" w:hAnsi="Courier New"/>
      <w:sz w:val="20"/>
    </w:rPr>
  </w:style>
  <w:style w:type="character" w:styleId="15">
    <w:name w:val="HTML Cite"/>
    <w:basedOn w:val="7"/>
    <w:qFormat/>
    <w:uiPriority w:val="0"/>
  </w:style>
  <w:style w:type="character" w:customStyle="1" w:styleId="16">
    <w:name w:val="页眉 Char"/>
    <w:basedOn w:val="7"/>
    <w:link w:val="4"/>
    <w:qFormat/>
    <w:uiPriority w:val="0"/>
    <w:rPr>
      <w:rFonts w:asciiTheme="minorHAnsi" w:hAnsiTheme="minorHAnsi" w:eastAsiaTheme="minorEastAsia" w:cstheme="minorBidi"/>
      <w:kern w:val="2"/>
      <w:sz w:val="18"/>
      <w:szCs w:val="18"/>
    </w:rPr>
  </w:style>
  <w:style w:type="character" w:customStyle="1" w:styleId="17">
    <w:name w:val="页脚 Char"/>
    <w:basedOn w:val="7"/>
    <w:link w:val="3"/>
    <w:qFormat/>
    <w:uiPriority w:val="0"/>
    <w:rPr>
      <w:rFonts w:asciiTheme="minorHAnsi" w:hAnsiTheme="minorHAnsi" w:eastAsiaTheme="minorEastAsia" w:cstheme="minorBidi"/>
      <w:kern w:val="2"/>
      <w:sz w:val="18"/>
      <w:szCs w:val="18"/>
    </w:rPr>
  </w:style>
  <w:style w:type="character" w:customStyle="1" w:styleId="18">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2650</Words>
  <Characters>966</Characters>
  <Lines>8</Lines>
  <Paragraphs>7</Paragraphs>
  <TotalTime>137</TotalTime>
  <ScaleCrop>false</ScaleCrop>
  <LinksUpToDate>false</LinksUpToDate>
  <CharactersWithSpaces>3609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Administrator.SKY-20190830JLQ</dc:creator>
  <cp:lastModifiedBy>Administrator</cp:lastModifiedBy>
  <cp:lastPrinted>2021-04-01T23:58:00Z</cp:lastPrinted>
  <dcterms:modified xsi:type="dcterms:W3CDTF">2021-04-06T08:36:45Z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