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atLeast"/>
        <w:rPr>
          <w:rFonts w:ascii="仿宋_GB2312" w:hAnsi="宋体" w:eastAsia="仿宋_GB2312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</w:rPr>
        <w:t>附件2:</w:t>
      </w:r>
    </w:p>
    <w:tbl>
      <w:tblPr>
        <w:tblStyle w:val="2"/>
        <w:tblW w:w="8931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05"/>
        <w:gridCol w:w="1905"/>
        <w:gridCol w:w="1815"/>
        <w:gridCol w:w="1455"/>
        <w:gridCol w:w="18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893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寿光市2021年春季教师招聘面试安排表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报考单位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报考岗位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计划人数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面试人数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午别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寿光市初中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上午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寿光市小学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下午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寿光市高中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下午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寿光第二中学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化学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上午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寿光市初中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化学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寿光市高中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上午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寿光市初中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下午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寿光市初中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物理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上午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寿光市小学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下午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寿光市高中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地理A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上午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寿光市初中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地理A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寿光市高中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地理B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下午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寿光市初中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地理B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寿光市高中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上午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寿光市初中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寿光市初中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下午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寿光第一中学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历史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上午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寿光市初中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历史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上午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寿光市高中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上午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寿光市小学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下午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寿光市高中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生物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上午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寿光市初中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生物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12160"/>
    <w:rsid w:val="7B212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2021-04-06T09:29:00Z</dcterms:created>
  <dc:creator>风</dc:creator>
  <cp:lastModifiedBy>风</cp:lastModifiedBy>
  <dcterms:modified xsi:type="dcterms:W3CDTF">2021-04-06T09:30:02Z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18EBC564F27F4DD884D6D1C864752289</vt:lpwstr>
  </property>
</Properties>
</file>